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1273-s8_ftc.htm"/>
      <w:bookmarkStart w:id="1" w:name="ksea0301273s8_ftc"/>
      <w:bookmarkEnd w:id="0"/>
      <w:bookmarkEnd w:id="1"/>
      <w:r>
        <w:rPr>
          <w:rFonts w:ascii="Times New Roman;Times;Serif" w:hAnsi="Times New Roman;Times;Serif"/>
          <w:b/>
          <w:i w:val="false"/>
          <w:caps w:val="false"/>
          <w:smallCaps w:val="false"/>
          <w:sz w:val="20"/>
        </w:rPr>
        <w:t>As filed with the Securities and Exchange Commission on August 10,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FTC SOLAR,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81-4816270</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10900 Stonelake Blvd,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Quarry Oaks II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Austin, Texas 78759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 2021 Stock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Cathy Behnen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10900 Stonelake Blvd,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Quarry Oaks II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Austin, Texas 78759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 481-4271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communications to:</w:t>
      </w:r>
    </w:p>
    <w:p>
      <w:pPr>
        <w:pStyle w:val="TextBody"/>
        <w:bidi w:val="0"/>
        <w:spacing w:before="0" w:after="0"/>
        <w:ind w:left="0" w:right="0" w:hanging="0"/>
        <w:jc w:val="center"/>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3695"/>
        <w:gridCol w:w="3275"/>
      </w:tblGrid>
      <w:tr>
        <w:trPr/>
        <w:tc>
          <w:tcPr>
            <w:tcW w:w="3695" w:type="dxa"/>
            <w:tcBorders/>
            <w:vAlign w:val="center"/>
          </w:tcPr>
          <w:p>
            <w:pPr>
              <w:pStyle w:val="TableContents"/>
              <w:bidi w:val="0"/>
              <w:spacing w:before="0" w:after="283"/>
              <w:jc w:val="center"/>
              <w:rPr>
                <w:b/>
              </w:rPr>
            </w:pPr>
            <w:r>
              <w:rPr>
                <w:b/>
              </w:rPr>
              <w:t>Michael Penney, Esq.</w:t>
            </w:r>
          </w:p>
        </w:tc>
        <w:tc>
          <w:tcPr>
            <w:tcW w:w="3275" w:type="dxa"/>
            <w:tcBorders/>
            <w:vAlign w:val="center"/>
          </w:tcPr>
          <w:p>
            <w:pPr>
              <w:pStyle w:val="TableContents"/>
              <w:bidi w:val="0"/>
              <w:spacing w:before="0" w:after="283"/>
              <w:jc w:val="center"/>
              <w:rPr>
                <w:b/>
              </w:rPr>
            </w:pPr>
            <w:r>
              <w:rPr>
                <w:b/>
              </w:rPr>
              <w:t>Cathy Behnen</w:t>
            </w:r>
          </w:p>
        </w:tc>
      </w:tr>
      <w:tr>
        <w:trPr/>
        <w:tc>
          <w:tcPr>
            <w:tcW w:w="3695" w:type="dxa"/>
            <w:tcBorders/>
            <w:vAlign w:val="center"/>
          </w:tcPr>
          <w:p>
            <w:pPr>
              <w:pStyle w:val="TableContents"/>
              <w:bidi w:val="0"/>
              <w:spacing w:before="0" w:after="283"/>
              <w:jc w:val="center"/>
              <w:rPr>
                <w:b/>
              </w:rPr>
            </w:pPr>
            <w:r>
              <w:rPr>
                <w:b/>
              </w:rPr>
              <w:t>Arnold &amp; Porter Kaye Scholer LLP</w:t>
            </w:r>
          </w:p>
        </w:tc>
        <w:tc>
          <w:tcPr>
            <w:tcW w:w="3275" w:type="dxa"/>
            <w:tcBorders/>
            <w:vAlign w:val="center"/>
          </w:tcPr>
          <w:p>
            <w:pPr>
              <w:pStyle w:val="TableContents"/>
              <w:bidi w:val="0"/>
              <w:spacing w:before="0" w:after="283"/>
              <w:jc w:val="center"/>
              <w:rPr>
                <w:b/>
              </w:rPr>
            </w:pPr>
            <w:r>
              <w:rPr>
                <w:b/>
              </w:rPr>
              <w:t>Chief Financial Officer</w:t>
            </w:r>
          </w:p>
        </w:tc>
      </w:tr>
      <w:tr>
        <w:trPr/>
        <w:tc>
          <w:tcPr>
            <w:tcW w:w="3695" w:type="dxa"/>
            <w:tcBorders/>
            <w:vAlign w:val="center"/>
          </w:tcPr>
          <w:p>
            <w:pPr>
              <w:pStyle w:val="TableContents"/>
              <w:bidi w:val="0"/>
              <w:spacing w:before="0" w:after="283"/>
              <w:jc w:val="center"/>
              <w:rPr>
                <w:b/>
              </w:rPr>
            </w:pPr>
            <w:r>
              <w:rPr>
                <w:b/>
              </w:rPr>
              <w:t>250 West 55th Street</w:t>
            </w:r>
          </w:p>
        </w:tc>
        <w:tc>
          <w:tcPr>
            <w:tcW w:w="3275" w:type="dxa"/>
            <w:tcBorders/>
            <w:vAlign w:val="center"/>
          </w:tcPr>
          <w:p>
            <w:pPr>
              <w:pStyle w:val="TableContents"/>
              <w:bidi w:val="0"/>
              <w:spacing w:before="0" w:after="283"/>
              <w:jc w:val="center"/>
              <w:rPr>
                <w:b/>
              </w:rPr>
            </w:pPr>
            <w:r>
              <w:rPr>
                <w:b/>
              </w:rPr>
              <w:t>FTC Solar, Inc.</w:t>
            </w:r>
          </w:p>
        </w:tc>
      </w:tr>
      <w:tr>
        <w:trPr/>
        <w:tc>
          <w:tcPr>
            <w:tcW w:w="3695" w:type="dxa"/>
            <w:tcBorders/>
            <w:vAlign w:val="center"/>
          </w:tcPr>
          <w:p>
            <w:pPr>
              <w:pStyle w:val="TableContents"/>
              <w:bidi w:val="0"/>
              <w:spacing w:before="0" w:after="283"/>
              <w:jc w:val="center"/>
              <w:rPr>
                <w:b/>
              </w:rPr>
            </w:pPr>
            <w:r>
              <w:rPr>
                <w:b/>
              </w:rPr>
              <w:t>New York, New York 10019</w:t>
            </w:r>
          </w:p>
        </w:tc>
        <w:tc>
          <w:tcPr>
            <w:tcW w:w="3275" w:type="dxa"/>
            <w:tcBorders/>
            <w:vAlign w:val="center"/>
          </w:tcPr>
          <w:p>
            <w:pPr>
              <w:pStyle w:val="TableContents"/>
              <w:bidi w:val="0"/>
              <w:spacing w:before="0" w:after="283"/>
              <w:jc w:val="center"/>
              <w:rPr>
                <w:b/>
              </w:rPr>
            </w:pPr>
            <w:r>
              <w:rPr>
                <w:b/>
              </w:rPr>
              <w:t>10900 Stonelake Blvd, Suite 100</w:t>
            </w:r>
          </w:p>
        </w:tc>
      </w:tr>
      <w:tr>
        <w:trPr/>
        <w:tc>
          <w:tcPr>
            <w:tcW w:w="3695" w:type="dxa"/>
            <w:tcBorders/>
            <w:vAlign w:val="center"/>
          </w:tcPr>
          <w:p>
            <w:pPr>
              <w:pStyle w:val="TableContents"/>
              <w:bidi w:val="0"/>
              <w:spacing w:before="0" w:after="283"/>
              <w:jc w:val="center"/>
              <w:rPr>
                <w:b/>
              </w:rPr>
            </w:pPr>
            <w:r>
              <w:rPr>
                <w:b/>
              </w:rPr>
              <w:t>(212) 836-8000</w:t>
            </w:r>
          </w:p>
        </w:tc>
        <w:tc>
          <w:tcPr>
            <w:tcW w:w="3275" w:type="dxa"/>
            <w:tcBorders/>
            <w:vAlign w:val="center"/>
          </w:tcPr>
          <w:p>
            <w:pPr>
              <w:pStyle w:val="TableContents"/>
              <w:bidi w:val="0"/>
              <w:spacing w:before="0" w:after="283"/>
              <w:jc w:val="center"/>
              <w:rPr>
                <w:b/>
              </w:rPr>
            </w:pPr>
            <w:r>
              <w:rPr>
                <w:b/>
              </w:rPr>
              <w:t>Quarry Oaks II Building</w:t>
            </w:r>
          </w:p>
        </w:tc>
      </w:tr>
      <w:tr>
        <w:trPr/>
        <w:tc>
          <w:tcPr>
            <w:tcW w:w="36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rPr>
            </w:pPr>
            <w:r>
              <w:rPr>
                <w:b/>
              </w:rPr>
              <w:t>Austin, Texas 78759</w:t>
            </w:r>
          </w:p>
        </w:tc>
      </w:tr>
      <w:tr>
        <w:trPr/>
        <w:tc>
          <w:tcPr>
            <w:tcW w:w="369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b/>
              </w:rPr>
            </w:pPr>
            <w:r>
              <w:rPr>
                <w:b/>
              </w:rPr>
              <w:t>(512) 481-4271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2630"/>
        <w:gridCol w:w="230"/>
        <w:gridCol w:w="2585"/>
        <w:gridCol w:w="245"/>
      </w:tblGrid>
      <w:tr>
        <w:trPr/>
        <w:tc>
          <w:tcPr>
            <w:tcW w:w="2630"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is filed by FTC Solar,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register an additional 621,493 shares (the “</w:t>
      </w:r>
      <w:r>
        <w:rPr>
          <w:rFonts w:ascii="Times New Roman;Times;Serif" w:hAnsi="Times New Roman;Times;Serif"/>
          <w:b/>
          <w:i w:val="false"/>
          <w:caps w:val="false"/>
          <w:smallCaps w:val="false"/>
          <w:sz w:val="20"/>
        </w:rPr>
        <w:t>Evergreen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issuable under the FTC Solar, Inc. 2021 Stock Incentive Plan, as amended (the “</w:t>
      </w:r>
      <w:r>
        <w:rPr>
          <w:rFonts w:ascii="Times New Roman;Times;Serif" w:hAnsi="Times New Roman;Times;Serif"/>
          <w:b/>
          <w:i w:val="false"/>
          <w:caps w:val="false"/>
          <w:smallCaps w:val="false"/>
          <w:sz w:val="20"/>
        </w:rPr>
        <w:t>2021 Stock Incentive Plan</w:t>
      </w:r>
      <w:r>
        <w:rPr>
          <w:rFonts w:ascii="Times New Roman;Times;Serif" w:hAnsi="Times New Roman;Times;Serif"/>
          <w:b w:val="false"/>
          <w:i w:val="false"/>
          <w:caps w:val="false"/>
          <w:smallCaps w:val="false"/>
          <w:sz w:val="20"/>
        </w:rPr>
        <w:t>”). The shares of Common Stock being registered pursuant to this Registration Statement are the same class as, and in addition to, other securities for which Registration Statements on Forms S-8 were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30, 2021, July 1, 2022, February 28, 2023, May 17, 2024, June 20, 2025 and September 19, 2025, with respect to the 2021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information specified in Item 1 and Item 2 of Part I of Form S-8 is omitted from this Registration Statement in accordance with the provisions of Rule 428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Company are incorporated herein by reference (except for portions thereof furnished or otherwise not filed with the SEC pursuant to Items 2.02 or 7.01 of Form 8-K and exhibits furnished on such form that relate to such items, which are deemed not to be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Annual Report on </w:t>
            </w:r>
            <w:hyperlink r:id="rId2">
              <w:r>
                <w:rPr>
                  <w:rStyle w:val="InternetLink"/>
                  <w:u w:val="single"/>
                </w:rPr>
                <w:t>Form 10-K</w:t>
              </w:r>
            </w:hyperlink>
            <w:r>
              <w:rPr/>
              <w:t xml:space="preserve"> for the fiscal year ended December 31, 2025, filed with the SEC on March 24, 2026, as amended by Amendment No. 1 to the Annual Report, filed with the SEC on </w:t>
            </w:r>
            <w:hyperlink r:id="rId3">
              <w:r>
                <w:rPr>
                  <w:rStyle w:val="InternetLink"/>
                </w:rPr>
                <w:t>April 28, 2026</w:t>
              </w:r>
            </w:hyperlink>
            <w:r>
              <w:rPr/>
              <w:t xml:space="preserve">, and Amendment No. 2 to the Annual Report, filed with the SEC on </w:t>
            </w:r>
            <w:hyperlink r:id="rId4">
              <w:r>
                <w:rPr>
                  <w:rStyle w:val="InternetLink"/>
                </w:rPr>
                <w:t>June 15,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Quarterly Reports on Form 10-Q for the periods ended March 31, 2026 and June 30, 2026, filed with the SEC on </w:t>
            </w:r>
            <w:hyperlink r:id="rId5">
              <w:r>
                <w:rPr>
                  <w:rStyle w:val="InternetLink"/>
                </w:rPr>
                <w:t>May 5, 2026</w:t>
              </w:r>
            </w:hyperlink>
            <w:r>
              <w:rPr/>
              <w:t xml:space="preserve"> and </w:t>
            </w:r>
            <w:hyperlink r:id="rId6">
              <w:r>
                <w:rPr>
                  <w:rStyle w:val="InternetLink"/>
                </w:rPr>
                <w:t>August 5,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Current Reports on Form 8-K filed with the SEC on </w:t>
            </w:r>
            <w:hyperlink r:id="rId7">
              <w:r>
                <w:rPr>
                  <w:rStyle w:val="InternetLink"/>
                </w:rPr>
                <w:t>March 24, 2026</w:t>
              </w:r>
            </w:hyperlink>
            <w:r>
              <w:rPr/>
              <w:t xml:space="preserve">, </w:t>
            </w:r>
            <w:hyperlink r:id="rId8">
              <w:r>
                <w:rPr>
                  <w:rStyle w:val="InternetLink"/>
                </w:rPr>
                <w:t>May 5, 2026</w:t>
              </w:r>
            </w:hyperlink>
            <w:r>
              <w:rPr/>
              <w:t xml:space="preserve"> (only with respect to Item 5.02 thereof and Exhibit 10.1 thereto) and </w:t>
            </w:r>
            <w:hyperlink r:id="rId9">
              <w:r>
                <w:rPr>
                  <w:rStyle w:val="InternetLink"/>
                </w:rPr>
                <w:t>August 5, 2026</w:t>
              </w:r>
            </w:hyperlink>
            <w:r>
              <w:rPr/>
              <w:t>, and, in each case, other than any other information “furnished” under Items 2.02 or 7.01 of any such Current Reports or corresponding information furnished under Item 9.01 or included as an exhibit in any such Current Reports;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The description of common stock set forth in the Description of Registrant’s Securities, filed as </w:t>
            </w:r>
            <w:hyperlink r:id="rId10">
              <w:r>
                <w:rPr>
                  <w:rStyle w:val="InternetLink"/>
                </w:rPr>
                <w:t>Exhibit 4.2</w:t>
              </w:r>
            </w:hyperlink>
            <w:r>
              <w:rPr/>
              <w:t xml:space="preserve"> to the Annual Report on Form 10-K for the fiscal year ended </w:t>
            </w:r>
            <w:hyperlink r:id="rId11">
              <w:r>
                <w:rPr>
                  <w:rStyle w:val="InternetLink"/>
                </w:rPr>
                <w:t>December 31, 2021</w:t>
              </w:r>
            </w:hyperlink>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and documents subsequently filed by the Company pursuant to Sections 13(a), 13(c), 14 and 15(d)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 of dividends or unlawful stock purchases or redemptions or (iv) for any transaction from which the director derived an improper personal benefit. Our certificate of incorporation contains such a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Our certificate of incorporation and bylaws contain such a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effect a directors and officers liability insurance policy indemnifying our directors and officers for certain liabilities incurred by them, including liabilities under the Securities Act and the Exchange Act. We pay the entire premium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indemnification agreements with each of our directors and executive officers. These agreements require us to indemnify these individuals to the fullest extent permitted under Section 145 of the DGCL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provisions and the indemnification agreements may be sufficiently broad to permit indemnification of our directors and executive officers for liabilities (including reimbursement of expenses incurred)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6"/>
        <w:gridCol w:w="60"/>
        <w:gridCol w:w="9299"/>
      </w:tblGrid>
      <w:tr>
        <w:trPr/>
        <w:tc>
          <w:tcPr>
            <w:tcW w:w="846"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299" w:type="dxa"/>
            <w:tcBorders>
              <w:bottom w:val="single" w:sz="12" w:space="0" w:color="000000"/>
            </w:tcBorders>
            <w:vAlign w:val="center"/>
          </w:tcPr>
          <w:p>
            <w:pPr>
              <w:pStyle w:val="TableContents"/>
              <w:bidi w:val="0"/>
              <w:spacing w:before="0" w:after="283"/>
              <w:jc w:val="left"/>
              <w:rPr/>
            </w:pPr>
            <w:r>
              <w:rPr/>
              <w:t>Description</w:t>
            </w:r>
          </w:p>
        </w:tc>
      </w:tr>
      <w:tr>
        <w:trPr/>
        <w:tc>
          <w:tcPr>
            <w:tcW w:w="8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9" w:type="dxa"/>
            <w:tcBorders/>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2">
              <w:r>
                <w:rPr>
                  <w:rStyle w:val="InternetLink"/>
                </w:rPr>
                <w:t>Amended and Restated Certificate of Incorporation of FTC Solar, Inc. (filed as Exhibit 3.1 to the Company’s Current Report on Form 8-K filed with the SEC on May 3, 2021 and incorporated herein by reference).</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3">
              <w:r>
                <w:rPr>
                  <w:rStyle w:val="InternetLink"/>
                </w:rPr>
                <w:t>Certificate of Correction of Amended and Restated Certificate of Incorporation (filed as Exhibit 3.3 to the Company’s Quarterly Report on Form 10-Q filed with the SEC on June 8, 2021 and incorporated herein by reference).</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4">
              <w:r>
                <w:rPr>
                  <w:rStyle w:val="InternetLink"/>
                </w:rPr>
                <w:t>Certificate of Amendment to the Amended and Restated Certificate Incorporation of FTC Solar, Inc. (filed as Exhibit 3.1 to the Company’s Current Report on Form 8-K filed with the SEC on November 27, 2024 and incorporated herein by reference).</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5">
              <w:r>
                <w:rPr>
                  <w:rStyle w:val="InternetLink"/>
                </w:rPr>
                <w:t>Amended and Restated Bylaws of FTC Solar, Inc. (filed as Exhibit 3.2 to the Company’s Current Report on Form 8-K filed with the SEC on May 3, 2021 and incorporated herein by reference).</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6">
              <w:r>
                <w:rPr>
                  <w:rStyle w:val="InternetLink"/>
                </w:rPr>
                <w:t>FTC Solar, Inc. 2021 Stock Incentive Plan and form of agreement (filed as Exhibit 10.6 to the Company’s Quarterly Report on Form 10-Q filed with the SEC on August 11, 2021 and incorporated herein by reference).</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7">
              <w:r>
                <w:rPr>
                  <w:rStyle w:val="InternetLink"/>
                </w:rPr>
                <w:t>Amendment No. 1 to 2021 Stock Incentive Plan (filed as Exhibit 10.1 to the Registrant’s Current Report on Form 8-K filed with the Securities and Exchange Commission on September 4, 2025 and incorporated herein by reference)</w:t>
              </w:r>
            </w:hyperlink>
            <w:r>
              <w:rPr/>
              <w:t>.</w:t>
            </w:r>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8">
              <w:r>
                <w:rPr>
                  <w:rStyle w:val="InternetLink"/>
                </w:rPr>
                <w:t>Specimen Common Stock Certificate (filed as Exhibit 4.1 to the Registrant’s Registration Statement on Form S-1 filed with the Securities Exchange Commission on April 19, 2021 and incorporated herein by reference)</w:t>
              </w:r>
            </w:hyperlink>
            <w:r>
              <w:rPr/>
              <w:t>.</w:t>
            </w:r>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19">
              <w:r>
                <w:rPr>
                  <w:rStyle w:val="InternetLink"/>
                </w:rPr>
                <w:t>Form of Warrant to Purchase Common Stock (filed as Exhibit 4.2 to the Registrant’s Current Report on Form 8-K filed with the Securities and Exchange Commission on July 7, 2025 and incorporated herein by reference)</w:t>
              </w:r>
            </w:hyperlink>
            <w:r>
              <w:rPr/>
              <w:t>.</w:t>
            </w:r>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r:id="rId20">
              <w:r>
                <w:rPr>
                  <w:rStyle w:val="InternetLink"/>
                </w:rPr>
                <w:t>Amended and Restated Warrant to Purchase Common Stock dated July 2, 2025 between FTC Solar, Inc. and AV Securities, Inc. (filed as Exhibit 4.3 to the Registrant’s Current Report on Form 8-K filed with the Securities and Exchange Commission on July 7, 2025 and incorporated herein by reference)</w:t>
              </w:r>
            </w:hyperlink>
            <w:r>
              <w:rPr/>
              <w:t>.</w:t>
            </w:r>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w:anchor="ea030127301ex5-1.htm">
              <w:r>
                <w:rPr>
                  <w:rStyle w:val="InternetLink"/>
                </w:rPr>
                <w:t>Opinion of Arnold &amp; Porter Kaye Scholer LLP.</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w:anchor="ea030127301ex23-1.htm">
              <w:r>
                <w:rPr>
                  <w:rStyle w:val="InternetLink"/>
                </w:rPr>
                <w:t>Consent of BDO USA, P.C.</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w:anchor="ea030127301ex5-1.htm">
              <w:r>
                <w:rPr>
                  <w:rStyle w:val="InternetLink"/>
                </w:rPr>
                <w:t>Consent of Arnold &amp; Porter Kaye Scholer LLP (included in Exhibit 5.1).</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w:anchor="a_001">
              <w:r>
                <w:rPr>
                  <w:rStyle w:val="InternetLink"/>
                </w:rPr>
                <w:t>Power of Attorney (included in signature page to this Registration Statement).</w:t>
              </w:r>
            </w:hyperlink>
          </w:p>
        </w:tc>
      </w:tr>
      <w:tr>
        <w:trPr/>
        <w:tc>
          <w:tcPr>
            <w:tcW w:w="8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9" w:type="dxa"/>
            <w:tcBorders/>
            <w:shd w:fill="FFFFFF" w:val="clear"/>
            <w:tcMar>
              <w:bottom w:w="0" w:type="dxa"/>
            </w:tcMar>
            <w:vAlign w:val="center"/>
          </w:tcPr>
          <w:p>
            <w:pPr>
              <w:pStyle w:val="TableContents"/>
              <w:bidi w:val="0"/>
              <w:spacing w:before="0" w:after="283"/>
              <w:jc w:val="left"/>
              <w:rPr/>
            </w:pPr>
            <w:r>
              <w:rPr/>
              <w:t> </w:t>
            </w:r>
          </w:p>
        </w:tc>
      </w:tr>
      <w:tr>
        <w:trPr/>
        <w:tc>
          <w:tcPr>
            <w:tcW w:w="846"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9" w:type="dxa"/>
            <w:tcBorders/>
            <w:shd w:fill="CCEEFF" w:val="clear"/>
            <w:tcMar>
              <w:bottom w:w="0" w:type="dxa"/>
            </w:tcMar>
            <w:vAlign w:val="center"/>
          </w:tcPr>
          <w:p>
            <w:pPr>
              <w:pStyle w:val="TableContents"/>
              <w:bidi w:val="0"/>
              <w:spacing w:before="0" w:after="283"/>
              <w:jc w:val="left"/>
              <w:rPr/>
            </w:pPr>
            <w:hyperlink w:anchor="ea030127301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FTC SOLAR, INC.,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23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0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 in the effective Registration Statement;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(i) and (ii)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283"/>
              <w:jc w:val="left"/>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Sections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August 10, 2026.</w:t>
      </w:r>
    </w:p>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75"/>
        <w:gridCol w:w="365"/>
        <w:gridCol w:w="650"/>
        <w:gridCol w:w="2225"/>
      </w:tblGrid>
      <w:tr>
        <w:trPr/>
        <w:tc>
          <w:tcPr>
            <w:tcW w:w="7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pPr>
            <w:r>
              <w:rPr/>
              <w:t>FTC SOLAR,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875" w:type="dxa"/>
            <w:gridSpan w:val="2"/>
            <w:tcBorders>
              <w:bottom w:val="single" w:sz="12" w:space="0" w:color="000000"/>
            </w:tcBorders>
            <w:tcMar>
              <w:bottom w:w="28" w:type="dxa"/>
            </w:tcMar>
            <w:vAlign w:val="center"/>
          </w:tcPr>
          <w:p>
            <w:pPr>
              <w:pStyle w:val="TableContents"/>
              <w:bidi w:val="0"/>
              <w:spacing w:before="0" w:after="283"/>
              <w:jc w:val="left"/>
              <w:rPr/>
            </w:pPr>
            <w:r>
              <w:rPr/>
              <w:t>/s/ Cathy Behnen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Cathy Behnen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Cathy Behnen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and any rules, regulations and requirements of the Securities and Exchange Commission thereunder, in connection with the registration of common stock of the registrant under this registration statement, including, without limitation, the power and authority to sign the name of each of the undersigned in the capacities indicated below to this registration statement, to any and all amendments or supplements to this registration statement and to any and all instruments or documents filed as part of or in connection with this registration statement or any and all amendments thereto; and each of the undersigned hereby ratifies and confirms all that such attorney and agent shall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set forth on the dates indicated.</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2105"/>
        <w:gridCol w:w="60"/>
        <w:gridCol w:w="4985"/>
        <w:gridCol w:w="60"/>
        <w:gridCol w:w="1625"/>
      </w:tblGrid>
      <w:tr>
        <w:trPr/>
        <w:tc>
          <w:tcPr>
            <w:tcW w:w="2105" w:type="dxa"/>
            <w:tcBorders>
              <w:bottom w:val="single" w:sz="12"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985"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Date</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Anthony Carroll</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President and Chief Executive Officer, 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Anthony Carroll</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Cathy Behnen</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Cathy Behnen</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(Principal Financial Officer and Accounting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Shaker Sadasivam</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Shaker Sadasivam</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Anthony Alvarez</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Anthony Alvarez</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Pablo Barahona</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Pablo Barahona</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Ahmad Chatila</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Ahmad Chatila</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Lisan Hung</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Lisan Hung</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bottom w:val="single" w:sz="12" w:space="0" w:color="000000"/>
            </w:tcBorders>
            <w:vAlign w:val="center"/>
          </w:tcPr>
          <w:p>
            <w:pPr>
              <w:pStyle w:val="TableContents"/>
              <w:bidi w:val="0"/>
              <w:spacing w:before="0" w:after="283"/>
              <w:jc w:val="center"/>
              <w:rPr/>
            </w:pPr>
            <w:r>
              <w:rPr/>
              <w:t>/s/ Maximillian Sultan</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05" w:type="dxa"/>
            <w:tcBorders/>
            <w:tcMar>
              <w:bottom w:w="0" w:type="dxa"/>
            </w:tcMar>
            <w:vAlign w:val="center"/>
          </w:tcPr>
          <w:p>
            <w:pPr>
              <w:pStyle w:val="TableContents"/>
              <w:bidi w:val="0"/>
              <w:spacing w:before="0" w:after="283"/>
              <w:jc w:val="center"/>
              <w:rPr/>
            </w:pPr>
            <w:r>
              <w:rPr/>
              <w:t>Maximillian Sultan</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127301ex5-1.htm"/>
      <w:bookmarkStart w:id="4" w:name="ksea0301273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3337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3333750" cy="51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10900 Stonelake Blvd, Suite 100 </w:t>
        <w:br/>
        <w:t>Quarry Oaks II Building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FTC Solar, Inc.</w:t>
        <w:br/>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FTC Solar,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of the Company’s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the date hereof relating to the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621,493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issuable pursuant to the Company’s 2021 Stock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examined and relied upon such certificates, corporate records, agreements, instruments and other documents, and examined such matters of law, that we considered necessary or appropriate as a basis for the opinions.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that all such documents have been duly authorized by all requisite action, corporate or other, and duly executed and delivered by all parties thereto (other than the Company) and that all such documents constitute the valid and binding obligation of each party thereto (other than the Company) enforceable against each such party in accordance with their terms. As to any facts material to the opinions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238750"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5238750" cy="2762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38125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381250" cy="3714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 the Shares have been duly authorized, and when issued and delivered by the Company in connection with awards granted under the Plan in accordance with the terms and conditions set forth in the Plan, subject to the full payment of the exercise price therefor (if any),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based solely upon the General Corporation Law of the State of Delaware (including the statutory provisions contained therein, the applicable rules and regulations underlying these provisions and reported judicial decisions interpreting the foregoing). We express no opinion herein as to any other laws, statutes, rules, regulations or ordinances.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limited to the matters expressly set forth herein, and no opinion is implied or may be inferred beyond the matters expressly stated. The foregoing opinions are rendered as of the date hereof, and we assume no obligation to update such opinions to reflect any acts, events, facts or circumstances occurring after the date hereof or which may hereafter come to our attention, or any change in the law which may hereafter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such consent, we do not thereby admit that we are experts within the meaning of the Securities Act or the rules and regulations of the Commission or that this consent is required by Section 7 of the Securities Act.</w:t>
      </w:r>
    </w:p>
    <w:p>
      <w:pPr>
        <w:pStyle w:val="TextBody"/>
        <w:bidi w:val="0"/>
        <w:spacing w:before="0" w:after="0"/>
        <w:ind w:left="0" w:right="0" w:firstLine="720"/>
        <w:jc w:val="both"/>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75"/>
        <w:gridCol w:w="3695"/>
      </w:tblGrid>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/s/ Arnold &amp; Porter Kaye Scholer LLP</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Arnold &amp; Porter Kaye Scholer LLP</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127301ex23-1.htm"/>
      <w:bookmarkStart w:id="6" w:name="ksea0301273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March 23, 2026, relating to the consolidated financial statements of FTC Solar, Inc.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127301ex-fee.htm"/>
      <w:bookmarkStart w:id="8" w:name="ksea0301273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FTC Solar,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0"/>
        <w:gridCol w:w="60"/>
        <w:gridCol w:w="1118"/>
        <w:gridCol w:w="60"/>
        <w:gridCol w:w="575"/>
        <w:gridCol w:w="60"/>
        <w:gridCol w:w="1126"/>
        <w:gridCol w:w="60"/>
        <w:gridCol w:w="1079"/>
        <w:gridCol w:w="60"/>
        <w:gridCol w:w="268"/>
        <w:gridCol w:w="843"/>
        <w:gridCol w:w="60"/>
        <w:gridCol w:w="152"/>
        <w:gridCol w:w="1398"/>
        <w:gridCol w:w="60"/>
        <w:gridCol w:w="1040"/>
        <w:gridCol w:w="60"/>
        <w:gridCol w:w="213"/>
        <w:gridCol w:w="1063"/>
      </w:tblGrid>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1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Common stock, $0.0001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621,493</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843" w:type="dxa"/>
            <w:tcBorders/>
            <w:vAlign w:val="center"/>
          </w:tcPr>
          <w:p>
            <w:pPr>
              <w:pStyle w:val="TableContents"/>
              <w:bidi w:val="0"/>
              <w:spacing w:before="0" w:after="283"/>
              <w:jc w:val="right"/>
              <w:rPr/>
            </w:pPr>
            <w:r>
              <w:rPr/>
              <w:t>2.87</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1,783,684.91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246.32</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59"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1,783,684.91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246.32</w:t>
            </w:r>
          </w:p>
        </w:tc>
      </w:tr>
      <w:tr>
        <w:trPr/>
        <w:tc>
          <w:tcPr>
            <w:tcW w:w="6159"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59"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3" w:type="dxa"/>
            <w:tcBorders>
              <w:bottom w:val="double" w:sz="8" w:space="0" w:color="000000"/>
            </w:tcBorders>
            <w:tcMar>
              <w:bottom w:w="28" w:type="dxa"/>
            </w:tcMar>
            <w:vAlign w:val="center"/>
          </w:tcPr>
          <w:p>
            <w:pPr>
              <w:pStyle w:val="TableContents"/>
              <w:bidi w:val="0"/>
              <w:spacing w:before="0" w:after="283"/>
              <w:jc w:val="right"/>
              <w:rPr/>
            </w:pPr>
            <w:r>
              <w:rPr/>
              <w:t>246.32</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pPr>
            <w:r>
              <w:rPr/>
              <w:t>Pursuant to Rule 416(a) promulgated under the Securities Act of 1933, as amended (the "Securities Act"), this Registration Statement shall also cover any additional shares of common stock, par value $0.0001 per share ("Common Stock"), of FTC Solar, Inc. (the "Company") that become issuable under the FTC Solar, Inc. 2021 Stock Incentive Plan (the "2021 Stock Incentive Plan") by reason of any future stock dividend, stock split, recapitalization or other similar transaction effected without receipt of consideration by the Company that increases the number of outstanding shares of Common Stock. (2) Represents the additional shares of Common Stock available for future issuance resulting from an annual increase as of January 1, 2026 pursuant to Section 4(a) of the 2021 Stock Incentive Plan. (3)Determined on the basis of the average of the high and low prices per share of Common Stock as reported on The Nasdaq Global Market on August 3, 2026, a date within five business days prior to the filing of this Registration Statement, of $2.98 and $2.75, respectively, solely for the purpose of calculating the registration fee pursuant to Rules 457(c) and 457(h) under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28161/000119312526120372/ftci-20251231.htm" TargetMode="External"/><Relationship Id="rId3" Type="http://schemas.openxmlformats.org/officeDocument/2006/relationships/hyperlink" Target="https://www.sec.gov/ix?doc=/Archives/edgar/data/1828161/000121390026048610/ea0287969-10ka1_ftcsolar.htm" TargetMode="External"/><Relationship Id="rId4" Type="http://schemas.openxmlformats.org/officeDocument/2006/relationships/hyperlink" Target="https://www.sec.gov/ix?doc=/Archives/edgar/data/1828161/000121390026068820/ea0294733-10ka2_ftcsolar.htm" TargetMode="External"/><Relationship Id="rId5" Type="http://schemas.openxmlformats.org/officeDocument/2006/relationships/hyperlink" Target="https://www.sec.gov/ix?doc=/Archives/edgar/data/1828161/000119312526205290/ftci-20260331.htm" TargetMode="External"/><Relationship Id="rId6" Type="http://schemas.openxmlformats.org/officeDocument/2006/relationships/hyperlink" Target="https://www.sec.gov/ix?doc=/Archives/edgar/data/1828161/000119312526334042/ftci-20260630.htm" TargetMode="External"/><Relationship Id="rId7" Type="http://schemas.openxmlformats.org/officeDocument/2006/relationships/hyperlink" Target="https://www.sec.gov/ix?doc=/Archives/edgar/data/1828161/000119312526120582/d50621d8k.htm" TargetMode="External"/><Relationship Id="rId8" Type="http://schemas.openxmlformats.org/officeDocument/2006/relationships/hyperlink" Target="https://www.sec.gov/ix?doc=/Archives/edgar/data/1828161/000119312526204973/ftci-20260429.htm" TargetMode="External"/><Relationship Id="rId9" Type="http://schemas.openxmlformats.org/officeDocument/2006/relationships/hyperlink" Target="https://www.sec.gov/ix?doc=/Archives/edgar/data/1828161/000119312526333770/ftci-20260804.htm" TargetMode="External"/><Relationship Id="rId10" Type="http://schemas.openxmlformats.org/officeDocument/2006/relationships/hyperlink" Target="https://www.sec.gov/Archives/edgar/data/1828161/000095017022004184/ftci-ex4_2.htm" TargetMode="External"/><Relationship Id="rId11" Type="http://schemas.openxmlformats.org/officeDocument/2006/relationships/hyperlink" Target="https://www.sec.gov/Archives/edgar/data/1828161/000095017022004184/ftci-20211231.htm" TargetMode="External"/><Relationship Id="rId12" Type="http://schemas.openxmlformats.org/officeDocument/2006/relationships/hyperlink" Target="https://www.sec.gov/Archives/edgar/data/1828161/000114036121015526/nt10018987x16_ex3-1.htm" TargetMode="External"/><Relationship Id="rId13" Type="http://schemas.openxmlformats.org/officeDocument/2006/relationships/hyperlink" Target="https://www.sec.gov/Archives/edgar/data/1828161/000095017021000325/ftci-20210331ex3_3.htm" TargetMode="External"/><Relationship Id="rId14" Type="http://schemas.openxmlformats.org/officeDocument/2006/relationships/hyperlink" Target="https://www.sec.gov/Archives/edgar/data/1828161/000095017024131275/ftci-ex3_1.htm" TargetMode="External"/><Relationship Id="rId15" Type="http://schemas.openxmlformats.org/officeDocument/2006/relationships/hyperlink" Target="https://www.sec.gov/Archives/edgar/data/1828161/000114036121015526/nt10018987x16_ex3-2.htm" TargetMode="External"/><Relationship Id="rId16" Type="http://schemas.openxmlformats.org/officeDocument/2006/relationships/hyperlink" Target="https://www.sec.gov/Archives/edgar/data/1828161/000095017021001227/ftci-20210630ex10_6.htm" TargetMode="External"/><Relationship Id="rId17" Type="http://schemas.openxmlformats.org/officeDocument/2006/relationships/hyperlink" Target="http://www.sec.gov/Archives/edgar/data/1828161/000182816125000004/ftci-ex10_1.htm" TargetMode="External"/><Relationship Id="rId18" Type="http://schemas.openxmlformats.org/officeDocument/2006/relationships/hyperlink" Target="https://www.sec.gov/Archives/edgar/data/1828161/000114036121013207/nt10018987x7_ex4-1.htm" TargetMode="External"/><Relationship Id="rId19" Type="http://schemas.openxmlformats.org/officeDocument/2006/relationships/hyperlink" Target="http://www.sec.gov/Archives/edgar/data/1828161/000119312525155869/d96355dex42.htm" TargetMode="External"/><Relationship Id="rId20" Type="http://schemas.openxmlformats.org/officeDocument/2006/relationships/hyperlink" Target="http://www.sec.gov/Archives/edgar/data/1828161/000119312525155869/d96355dex43.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3836</Words>
  <Characters>20400</Characters>
  <CharactersWithSpaces>24370</CharactersWithSpaces>
  <Paragraphs>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