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Carroll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10900 STONELAKE BLVD.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100 QUARRY OAKS II BUILDING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FTC Solar,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FTCI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40" w:space="68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78759</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7,250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3.43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641,455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for these shares, which were purchased in multiple transactions at prices ranging from $3.430 to $3.460. The Reporting Person undertakes to provide to the Issuer, the staff of the Commission or any security holder of the Issuer, upon request, full information regarding the number of shares purchased at each separate price within the range.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Cathy Behnen, as Attorney- </w:t>
      </w:r>
      <w:r>
        <w:rPr>
          <w:rFonts w:ascii="Times New Roman" w:cs="Times New Roman" w:eastAsia="Times New Roman" w:hAnsi="Times New Roman"/>
          <w:sz w:val="33"/>
          <w:szCs w:val="33"/>
          <w:color w:val="0000FF"/>
          <w:vertAlign w:val="subscript"/>
        </w:rPr>
        <w:t>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00820" TargetMode="External"/><Relationship Id="rId14" Type="http://schemas.openxmlformats.org/officeDocument/2006/relationships/hyperlink" Target="http://www.sec.gov/cgi-bin/browse-edgar?action=getcompany&amp;CIK=00018281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2026-05-07T08:14:50Z</dcterms:created>
  <dcterms:modified xsi:type="dcterms:W3CDTF">2026-05-07T08:14:50Z</dcterms:modified>
</cp:coreProperties>
</file>