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tci-20260804.htm"/>
      <w:bookmarkStart w:id="1" w:name="ksftci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FTC Solar,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736" w:type="dxa"/>
        <w:jc w:val="left"/>
        <w:tblInd w:w="0" w:type="dxa"/>
        <w:tblLayout w:type="fixed"/>
        <w:tblCellMar>
          <w:top w:w="28" w:type="dxa"/>
          <w:left w:w="28" w:type="dxa"/>
          <w:bottom w:w="28" w:type="dxa"/>
          <w:right w:w="28" w:type="dxa"/>
        </w:tblCellMar>
      </w:tblPr>
      <w:tblGrid>
        <w:gridCol w:w="1059"/>
        <w:gridCol w:w="964"/>
        <w:gridCol w:w="970"/>
        <w:gridCol w:w="239"/>
        <w:gridCol w:w="3022"/>
        <w:gridCol w:w="146"/>
        <w:gridCol w:w="1336"/>
      </w:tblGrid>
      <w:tr>
        <w:trPr/>
        <w:tc>
          <w:tcPr>
            <w:tcW w:w="10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93" w:type="dxa"/>
            <w:gridSpan w:val="3"/>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Delaware</w:t>
            </w:r>
          </w:p>
        </w:tc>
        <w:tc>
          <w:tcPr>
            <w:tcW w:w="239"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3022"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001-40350</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81-4816270</w:t>
            </w:r>
          </w:p>
        </w:tc>
      </w:tr>
      <w:tr>
        <w:trPr/>
        <w:tc>
          <w:tcPr>
            <w:tcW w:w="29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6254"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10900 Stonelake Blvd, Suite 100, Quarry Oaks II Building, Austin, Texas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78759</w:t>
            </w:r>
          </w:p>
        </w:tc>
      </w:tr>
      <w:tr>
        <w:trPr/>
        <w:tc>
          <w:tcPr>
            <w:tcW w:w="6254" w:type="dxa"/>
            <w:gridSpan w:val="5"/>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(Address of principal executive offices)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(512) 481-4271</w:t>
            </w:r>
          </w:p>
        </w:tc>
      </w:tr>
    </w:tbl>
    <w:p>
      <w:pPr>
        <w:pStyle w:val="TextBody"/>
        <w:bidi w:val="0"/>
        <w:jc w:val="center"/>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005" w:type="dxa"/>
        <w:jc w:val="left"/>
        <w:tblInd w:w="0" w:type="dxa"/>
        <w:tblLayout w:type="fixed"/>
        <w:tblCellMar>
          <w:top w:w="28" w:type="dxa"/>
          <w:left w:w="28" w:type="dxa"/>
          <w:bottom w:w="28" w:type="dxa"/>
          <w:right w:w="28" w:type="dxa"/>
        </w:tblCellMar>
      </w:tblPr>
      <w:tblGrid>
        <w:gridCol w:w="2941"/>
        <w:gridCol w:w="146"/>
        <w:gridCol w:w="946"/>
        <w:gridCol w:w="146"/>
        <w:gridCol w:w="382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FTCI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w:t>
        <w:b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br/>
        <w:t>☐</w:t>
      </w:r>
    </w:p>
    <w:p>
      <w:pPr>
        <w:pStyle w:val="TextBody"/>
        <w:pBdr>
          <w:bottom w:val="double" w:sz="6" w:space="1" w:color="000000"/>
        </w:pBdr>
        <w:bidi w:val="0"/>
        <w:jc w:val="left"/>
        <w:rPr/>
      </w:pPr>
      <w:r>
        <w:rPr/>
        <w:t> </w:t>
      </w:r>
    </w:p>
    <w:p>
      <w:pPr>
        <w:pStyle w:val="Heading2"/>
        <w:bidi w:val="0"/>
        <w:jc w:val="left"/>
        <w:rPr/>
      </w:pPr>
      <w:r>
        <w:rPr/>
        <w:t> </w:t>
      </w:r>
    </w:p>
    <w:p>
      <w:pPr>
        <w:pStyle w:val="HorizontalLine"/>
        <w:pBdr>
          <w:bottom w:val="double" w:sz="2" w:space="0" w:color="808080"/>
        </w:pBdr>
        <w:bidi w:val="0"/>
        <w:spacing w:before="0" w:after="283"/>
        <w:jc w:val="left"/>
        <w:rPr/>
      </w:pPr>
      <w:r>
        <w:rPr/>
      </w:r>
    </w:p>
    <w:tbl>
      <w:tblPr>
        <w:tblW w:w="4772" w:type="dxa"/>
        <w:jc w:val="left"/>
        <w:tblInd w:w="0" w:type="dxa"/>
        <w:tblLayout w:type="fixed"/>
        <w:tblCellMar>
          <w:top w:w="28" w:type="dxa"/>
          <w:left w:w="28" w:type="dxa"/>
          <w:bottom w:w="28" w:type="dxa"/>
          <w:right w:w="28" w:type="dxa"/>
        </w:tblCellMar>
      </w:tblPr>
      <w:tblGrid>
        <w:gridCol w:w="916"/>
        <w:gridCol w:w="3856"/>
      </w:tblGrid>
      <w:tr>
        <w:trPr/>
        <w:tc>
          <w:tcPr>
            <w:tcW w:w="916"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8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jc w:val="both"/>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Lincoln Park Capital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4, 2026, FTC Solar, Inc. (the “Company”) entered into a purchase agreement (the “Purchase Agreement”) with Lincoln Park Capital Fund, LLC (“Lincoln Park”), pursuant to which Lincoln Park committed to purchase, at the Company’s direction from time to time, up to an aggregate of $20.0 million of the Company’s common stock, par value $0.0001 per share (the “Common Stock”), subject to the terms and conditions set forth in the Purchase Agreement. The Company also entered into a registration rights agreement with Lincoln Park (the “Registration Rights Agreement” and, together with the Purchase Agreement, the “Agreements”), pursuant to which the Company agreed to file with the U.S. Securities and Exchange Commission (the “SEC”) a registration statement covering the resale by Lincoln Park of the shares of Common Stock that have been and may be issued and sold to Lincoln Park under the Purchase Agreement, including the commitment shares described below, and to take such other actions as are reasonably necessary to maintain the effectiveness of such registration statement as provided in the Registration Rights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terms of the Purchase Agreement, from and after the date on which the conditions to Lincoln Park’s purchase obligations have been satisfied, including that the registration statement described above is declared effective by the SEC and a final prospectus is filed with the SEC (the “Commencement Date”), the Company will have the right, but not the obligation, in its sole discretion to direct Lincoln Park to purchase shares of Common Stock from time to time over a period of up to 24 months for aggregate gross proceeds to the Company of up to $20.0 million, subject to certain limitations contained in the Purchase Agreement. Lincoln Park has no right to require the Company to sell any shares of Common Stock, but Lincoln Park is obligated to make purchases of Common Stock from the Company as directed by the Company in accordance with the Purchase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and after the Commencement Date, on any business day on which the closing sale price of the Common Stock is not less than $1.00 per share, the Company may, by written notice, direct Lincoln Park to purchase up to 20,000 shares of Common Stock (a “Regular Purchase”), which amount may be increased to up to 30,000 shares of Common Stock if the closing sale price is not below $2.00 per share, up to 40,000 shares of Common Stock if the closing sale price is not below $3.00 per share of Common Stock, and up to 50,000 shares if the closing sale price is not below $4.00 per share of Common Stock, in each case subject to a maximum dollar amount of $1,000,000 per Regular Purchase. The purchase price per share for each Regular Purchase will be equal to 97% of the lower of (i) the lowest sale price of the Common Stock on the applicable purchase date and (ii) the average of the three lowest closing sale prices of the Common Stock during the ten consecutive business days immediately preceding the applicable purchase date. Regular Purchases may be effected as frequently as each business day after the close of trading so that the applicable purchase price is fixed and known at the time the Company elects to sell shares to Lincoln Park.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if the Company directs Lincoln Park to purchase the maximum number of shares permitted in a Regular Purchase on an applicable purchase date, then, in addition to such Regular Purchase and subject to the satisfaction of certain conditions and limitations set forth in the Purchase Agreement, the Company may also direct Lincoln Park to purchase additional shares of Common Stock in an accelerated purchase (an “Accelerated Purchase”) on the following business day. For an Accelerated Purchase, Lincoln Park will purchase the lesser of (i) three times the regular purchase share limit for the corresponding Regular Purchase and (ii) 30% of the trading volume on the Accelerated Purchase date as specified in the Purchase Agreement, at a purchase price per share equal to the lower of 97% of (x) the closing sale price on the Accelerated Purchase date and (y) the volume-weighted average price during the measurement period specified in the Purchase Agreement for such date. Subject to satisfaction of the applicable conditions, the Company may direct multiple Accelerated Purchases in a single trading day.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Purchase Agreement contains customary terms, conditions, representations and warranties, and indemnification obligations of the parties. The Company may terminate the Purchase Agreement at any time after the Commencement Date, for any reason or no reason, upon one business day’s prior written notice to Lincoln Park, at no cost or penalty. Following the Commencement Date, upon the occurrence of specified suspension events described in the Purchase Agreement, including, among others, the unavailability of the registration statement for resales, trading suspensions, certain breaches of representations or covenants having or reasonably likely to have a material adverse effect, and certain listing or eligibility events, the Company will not be permitted to direct Lincoln Park to purchase shares until the applicable suspension event is cured or waived; provided that Lincoln Park does not have the right to terminate the Purchase Agreement as a result of any such suspension event. In addition, the Purchase Agreement prohibits the Company from directing Lincoln Park to purchase any shares of Common Stock if such shares, when aggregated with all other shares then beneficially owned by Lincoln Park and its affiliates, would result in Lincoln Park beneficially owning more than 4.99% of the outstanding shares of Common Stock, which beneficial ownership cap may be increased by Lincoln Park to up to 9.99% upon 61 days’ prior written notice to the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consideration for Lincoln Park’s commitment to purchase shares under the Purchase Agreement, on the date of the Purchase Agreement the Company issued to Lincoln Park 60,145 shares of Common Stock (the “Commitment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Lincoln Park has agreed that it will not engage in or effect, directly or indirectly, any short sales of or hedging transactions that establish a net short position in the Common Stock at any time. The Agreements do not contain financial or business covenants, limitations on the use of proceeds or rights of first refusal or participation rights. The Purchase Agreement prohibits the Company from entering into another equity line of credit or substantially similar arrangement during the 24-month term of the Purchase Agreement; however, the Company may enter into or maintain an at-the-market offering program with a registered broker-dealer.</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foregoing summary of the material terms of the Purchase Agreement and the Registration Rights Agreement does not purport to be complete and is qualified in its entirety by reference to the full text of such Agreements, copies of which are attached as exhibits to this report, and each of which is incorporated herein in its entirety by reference. The representations, warranties and covenants in such Agreements were made only for purposes of such Agreements and as of specific dates, were solely for the benefit of the parties to such Agreements and may be subject to limitations agreed upon by the contracting parties.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Credit Agreement Limited Waiver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4, 2026, the Company and Acquiom Agency Services LLC, as administrative agent for the lenders (the “Agent”), entered into a Limited Waiver and Limited Consent to Credit Agreement (the “Waiver”) relating to the Credit Agreement, dated as of July 2, 2025, among the Company, the Agent and the lenders (the “Lenders”) party thereto (as amended by the First Amendment to Credit Agreement, dated November 11, 2025, and the Second Amendment and Limited Waiver to Credit Agreement, dated March 23, 2026, and as otherwise amended, restated, supplemented or modified, the “Credit Agreement”). Pursuant to the Waiver, the Lenders provided waivers relating to the Company’s noncompliance with the minimum unrestricted cash requirement and minimum direct tracker margin requirement under the Credit Agreement for the fiscal quarter ended June 30, 2026. Additionally, pursuant to the Waiver, the Lenders consent to the payoff of, and the Company undertook to deliver certain payoff letters relating to, the seller notes issued in connection with the Company's acquisition of the outstanding equity of Alpha Steel.</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Waiver does not purport to be complete and is qualified in its entirety by reference to the full text of the Waiver filed as Exhibit 10.3 to this Current Report on Form 8-K and which is incorporated herein by reference.</w:t>
      </w:r>
    </w:p>
    <w:p>
      <w:pPr>
        <w:pStyle w:val="TextBody"/>
        <w:bidi w:val="0"/>
        <w:spacing w:before="0" w:after="120"/>
        <w:jc w:val="both"/>
        <w:rPr/>
      </w:pPr>
      <w:r>
        <w:rPr/>
        <w:t> </w:t>
      </w:r>
    </w:p>
    <w:tbl>
      <w:tblPr>
        <w:tblW w:w="5012" w:type="dxa"/>
        <w:jc w:val="left"/>
        <w:tblInd w:w="0" w:type="dxa"/>
        <w:tblLayout w:type="fixed"/>
        <w:tblCellMar>
          <w:top w:w="28" w:type="dxa"/>
          <w:left w:w="28" w:type="dxa"/>
          <w:bottom w:w="28" w:type="dxa"/>
          <w:right w:w="28" w:type="dxa"/>
        </w:tblCellMar>
      </w:tblPr>
      <w:tblGrid>
        <w:gridCol w:w="916"/>
        <w:gridCol w:w="4096"/>
      </w:tblGrid>
      <w:tr>
        <w:trPr/>
        <w:tc>
          <w:tcPr>
            <w:tcW w:w="916" w:type="dxa"/>
            <w:tcBorders/>
            <w:vAlign w:val="center"/>
          </w:tcPr>
          <w:p>
            <w:pPr>
              <w:pStyle w:val="TableContents"/>
              <w:bidi w:val="0"/>
              <w:spacing w:before="0" w:after="283"/>
              <w:jc w:val="left"/>
              <w:rPr>
                <w:sz w:val="4"/>
                <w:szCs w:val="4"/>
              </w:rPr>
            </w:pPr>
            <w:r>
              <w:rPr>
                <w:sz w:val="4"/>
                <w:szCs w:val="4"/>
              </w:rPr>
            </w:r>
          </w:p>
        </w:tc>
        <w:tc>
          <w:tcPr>
            <w:tcW w:w="409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5, 2026, the Company issued a press release regarding its financial results for the second quarter ended June 30, 2026. A copy of the Company's press release is furnished herewith as Exhibit 99.1.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furnished in this Current Report under this Item 2.02 and Exhibit 99.1 furnished herewith shall not be deemed "filed" for purposes of Section 18 of the Securities Exchange Act of 1934, as amended, or incorporated by reference in any filing under the Securities Act of 1933, as amended, except as shall be expressly set forth by specific reference in such a filing.</w:t>
      </w:r>
    </w:p>
    <w:p>
      <w:pPr>
        <w:pStyle w:val="TextBody"/>
        <w:bidi w:val="0"/>
        <w:spacing w:before="0" w:after="120"/>
        <w:jc w:val="left"/>
        <w:rPr/>
      </w:pPr>
      <w:r>
        <w:rPr/>
        <w:t> </w:t>
      </w:r>
    </w:p>
    <w:tbl>
      <w:tblPr>
        <w:tblW w:w="10205" w:type="dxa"/>
        <w:jc w:val="left"/>
        <w:tblInd w:w="0" w:type="dxa"/>
        <w:tblLayout w:type="fixed"/>
        <w:tblCellMar>
          <w:top w:w="28" w:type="dxa"/>
          <w:left w:w="28" w:type="dxa"/>
          <w:bottom w:w="28" w:type="dxa"/>
          <w:right w:w="28" w:type="dxa"/>
        </w:tblCellMar>
      </w:tblPr>
      <w:tblGrid>
        <w:gridCol w:w="825"/>
        <w:gridCol w:w="9380"/>
      </w:tblGrid>
      <w:tr>
        <w:trPr/>
        <w:tc>
          <w:tcPr>
            <w:tcW w:w="825" w:type="dxa"/>
            <w:tcBorders/>
            <w:vAlign w:val="center"/>
          </w:tcPr>
          <w:p>
            <w:pPr>
              <w:pStyle w:val="TableContents"/>
              <w:bidi w:val="0"/>
              <w:spacing w:before="0" w:after="283"/>
              <w:jc w:val="left"/>
              <w:rPr>
                <w:sz w:val="4"/>
                <w:szCs w:val="4"/>
              </w:rPr>
            </w:pPr>
            <w:r>
              <w:rPr>
                <w:sz w:val="4"/>
                <w:szCs w:val="4"/>
              </w:rPr>
            </w:r>
          </w:p>
        </w:tc>
        <w:tc>
          <w:tcPr>
            <w:tcW w:w="9380" w:type="dxa"/>
            <w:tcBorders/>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2.04</w:t>
            </w:r>
          </w:p>
        </w:tc>
        <w:tc>
          <w:tcPr>
            <w:tcW w:w="9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Triggering Events That Accelerate or Increase a Direct Financial Obligation or an Obligation under an Off-Balance Sheet Arrangement.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disclosures and information set forth above in Item 1.01 of this Current Report on Form 8-K under the heading “Credit Agreement Limited Waiver” are incorporated by reference herein in its entirety.</w:t>
      </w:r>
    </w:p>
    <w:p>
      <w:pPr>
        <w:pStyle w:val="TextBody"/>
        <w:bidi w:val="0"/>
        <w:spacing w:before="0" w:after="120"/>
        <w:jc w:val="left"/>
        <w:rPr/>
      </w:pPr>
      <w:r>
        <w:rPr/>
        <w:t> </w:t>
      </w:r>
    </w:p>
    <w:tbl>
      <w:tblPr>
        <w:tblW w:w="4382" w:type="dxa"/>
        <w:jc w:val="left"/>
        <w:tblInd w:w="0" w:type="dxa"/>
        <w:tblLayout w:type="fixed"/>
        <w:tblCellMar>
          <w:top w:w="28" w:type="dxa"/>
          <w:left w:w="28" w:type="dxa"/>
          <w:bottom w:w="28" w:type="dxa"/>
          <w:right w:w="28" w:type="dxa"/>
        </w:tblCellMar>
      </w:tblPr>
      <w:tblGrid>
        <w:gridCol w:w="916"/>
        <w:gridCol w:w="3466"/>
      </w:tblGrid>
      <w:tr>
        <w:trPr/>
        <w:tc>
          <w:tcPr>
            <w:tcW w:w="91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3.02</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Unregistered Sales of Equity Securities.</w:t>
            </w:r>
          </w:p>
        </w:tc>
      </w:tr>
    </w:tbl>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disclosures and information set forth above in Item 1.01 of this Current Report on Form 8-K under the heading “Lincoln Park Capital Purchase Agreement” are incorporated by reference herein in its entirety.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Purchase Agreement, Lincoln Park represented to the Company, among other things, that it is an “accredited investor” (as such term is defined in Rule 501(a)(3) of Regulation D under the Securities Act of 1933, as amended (the “Securities Act”)). The Commitment Shares were issued and the purchase shares issuable pursuant to the Purchase Agreement will be issued and sold by the Company to Lincoln Park in reliance upon the exemptions from the registration requirements of the Securities Act afforded by Section 4(a)(2) of the Securities Act and Rule 506(b) of Regulation D thereunder.</w:t>
      </w:r>
    </w:p>
    <w:p>
      <w:pPr>
        <w:pStyle w:val="TextBody"/>
        <w:bidi w:val="0"/>
        <w:jc w:val="both"/>
        <w:rPr>
          <w:rFonts w:ascii="Times New Roman" w:hAnsi="Times New Roman"/>
          <w:color w:val="000000"/>
          <w:sz w:val="20"/>
        </w:rPr>
      </w:pPr>
      <w:r>
        <w:rPr>
          <w:rFonts w:ascii="Times New Roman" w:hAnsi="Times New Roman"/>
          <w:color w:val="000000"/>
          <w:sz w:val="20"/>
        </w:rPr>
        <w:t>This report shall not constitute an offer to sell or a solicitation of an offer to buy any shares of Common Stock, nor shall there be any sale of shares of Common Stock in any state or jurisdiction in which such an offer, solicitation or sale would be unlawful prior to registration or qualification under the securities laws of any such state or other jurisdiction.</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5"/>
        <w:gridCol w:w="286"/>
        <w:gridCol w:w="287"/>
        <w:gridCol w:w="146"/>
        <w:gridCol w:w="146"/>
        <w:gridCol w:w="146"/>
        <w:gridCol w:w="953"/>
        <w:gridCol w:w="953"/>
        <w:gridCol w:w="953"/>
        <w:gridCol w:w="953"/>
        <w:gridCol w:w="953"/>
        <w:gridCol w:w="953"/>
        <w:gridCol w:w="953"/>
        <w:gridCol w:w="953"/>
        <w:gridCol w:w="1255"/>
      </w:tblGrid>
      <w:tr>
        <w:trPr/>
        <w:tc>
          <w:tcPr>
            <w:tcW w:w="3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15"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5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4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79" w:type="dxa"/>
            <w:gridSpan w:val="9"/>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Description</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center"/>
              <w:rPr/>
            </w:pPr>
            <w:hyperlink w:anchor="ftci-ex10_1.htm">
              <w:r>
                <w:rPr>
                  <w:rStyle w:val="InternetLink"/>
                  <w:rFonts w:ascii="Times New Roman" w:hAnsi="Times New Roman"/>
                  <w:color w:val="0000FF"/>
                  <w:sz w:val="20"/>
                  <w:u w:val="single"/>
                </w:rPr>
                <w:t>10.1</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8879" w:type="dxa"/>
            <w:gridSpan w:val="9"/>
            <w:tcBorders/>
            <w:tcMar>
              <w:top w:w="0" w:type="dxa"/>
              <w:left w:w="0" w:type="dxa"/>
              <w:bottom w:w="0" w:type="dxa"/>
              <w:right w:w="0" w:type="dxa"/>
            </w:tcMar>
            <w:vAlign w:val="center"/>
          </w:tcPr>
          <w:p>
            <w:pPr>
              <w:pStyle w:val="TableContents"/>
              <w:bidi w:val="0"/>
              <w:spacing w:before="0" w:after="283"/>
              <w:jc w:val="left"/>
              <w:rPr/>
            </w:pPr>
            <w:hyperlink w:anchor="ftci-ex10_1.htm">
              <w:r>
                <w:rPr>
                  <w:rStyle w:val="InternetLink"/>
                  <w:rFonts w:ascii="Times New Roman" w:hAnsi="Times New Roman"/>
                  <w:color w:val="0000FF"/>
                  <w:sz w:val="20"/>
                  <w:u w:val="single"/>
                </w:rPr>
                <w:t>Purchase Agreement, dated August 4, 2026, by and between FTC Solar, Inc. and Lincoln Park Capital Fund, LLC</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center"/>
              <w:rPr/>
            </w:pPr>
            <w:hyperlink w:anchor="ftci-ex10_2.htm">
              <w:r>
                <w:rPr>
                  <w:rStyle w:val="InternetLink"/>
                  <w:rFonts w:ascii="Times New Roman" w:hAnsi="Times New Roman"/>
                  <w:color w:val="0000FF"/>
                  <w:sz w:val="20"/>
                  <w:u w:val="single"/>
                </w:rPr>
                <w:t>10.2</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8879" w:type="dxa"/>
            <w:gridSpan w:val="9"/>
            <w:tcBorders/>
            <w:tcMar>
              <w:top w:w="0" w:type="dxa"/>
              <w:left w:w="0" w:type="dxa"/>
              <w:bottom w:w="0" w:type="dxa"/>
              <w:right w:w="0" w:type="dxa"/>
            </w:tcMar>
            <w:vAlign w:val="center"/>
          </w:tcPr>
          <w:p>
            <w:pPr>
              <w:pStyle w:val="TableContents"/>
              <w:bidi w:val="0"/>
              <w:spacing w:before="0" w:after="283"/>
              <w:jc w:val="left"/>
              <w:rPr/>
            </w:pPr>
            <w:hyperlink w:anchor="ftci-ex10_2.htm">
              <w:r>
                <w:rPr>
                  <w:rStyle w:val="InternetLink"/>
                  <w:rFonts w:ascii="Times New Roman" w:hAnsi="Times New Roman"/>
                  <w:color w:val="0000FF"/>
                  <w:sz w:val="20"/>
                  <w:u w:val="single"/>
                </w:rPr>
                <w:t>Registration Rights Agreement, dated August 4, 2026, by and between FTC Solar, Inc. and Lincoln Park Capital Fund, LLC</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center"/>
              <w:rPr/>
            </w:pPr>
            <w:hyperlink w:anchor="ftci-ex10_3.htm">
              <w:r>
                <w:rPr>
                  <w:rStyle w:val="InternetLink"/>
                  <w:rFonts w:ascii="Times New Roman" w:hAnsi="Times New Roman"/>
                  <w:color w:val="0000FF"/>
                  <w:sz w:val="20"/>
                  <w:u w:val="single"/>
                </w:rPr>
                <w:t>10.3</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8879" w:type="dxa"/>
            <w:gridSpan w:val="9"/>
            <w:tcBorders/>
            <w:tcMar>
              <w:top w:w="0" w:type="dxa"/>
              <w:left w:w="0" w:type="dxa"/>
              <w:bottom w:w="0" w:type="dxa"/>
              <w:right w:w="0" w:type="dxa"/>
            </w:tcMar>
            <w:vAlign w:val="center"/>
          </w:tcPr>
          <w:p>
            <w:pPr>
              <w:pStyle w:val="TableContents"/>
              <w:bidi w:val="0"/>
              <w:spacing w:before="0" w:after="283"/>
              <w:jc w:val="left"/>
              <w:rPr/>
            </w:pPr>
            <w:hyperlink w:anchor="ftci-ex10_3.htm">
              <w:r>
                <w:rPr>
                  <w:rStyle w:val="InternetLink"/>
                  <w:rFonts w:ascii="Times New Roman" w:hAnsi="Times New Roman"/>
                  <w:color w:val="0000FF"/>
                  <w:sz w:val="20"/>
                  <w:u w:val="single"/>
                </w:rPr>
                <w:t>Limited Waiver and Limited Consent to Credit Agreement, dated August 4, 2026, by and among FTC Solar, Inc., Acquiom Agency Services LLC, as administrative agent for the Lenders, and the other parties thereto</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center"/>
              <w:rPr/>
            </w:pPr>
            <w:hyperlink w:anchor="ftci-ex99_1.htm">
              <w:r>
                <w:rPr>
                  <w:rStyle w:val="InternetLink"/>
                  <w:rFonts w:ascii="Times New Roman" w:hAnsi="Times New Roman"/>
                  <w:color w:val="0000FF"/>
                  <w:sz w:val="20"/>
                  <w:u w:val="single"/>
                </w:rPr>
                <w:t>99.1</w:t>
              </w:r>
            </w:hyperlink>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9"/>
            <w:tcBorders/>
            <w:tcMar>
              <w:top w:w="0" w:type="dxa"/>
              <w:left w:w="0" w:type="dxa"/>
              <w:bottom w:w="0" w:type="dxa"/>
              <w:right w:w="0" w:type="dxa"/>
            </w:tcMar>
            <w:vAlign w:val="center"/>
          </w:tcPr>
          <w:p>
            <w:pPr>
              <w:pStyle w:val="TableContents"/>
              <w:bidi w:val="0"/>
              <w:spacing w:before="0" w:after="283"/>
              <w:jc w:val="left"/>
              <w:rPr/>
            </w:pPr>
            <w:hyperlink w:anchor="ftci-ex99_1.htm">
              <w:r>
                <w:rPr>
                  <w:rStyle w:val="InternetLink"/>
                  <w:rFonts w:ascii="Times New Roman" w:hAnsi="Times New Roman"/>
                  <w:color w:val="0000FF"/>
                  <w:sz w:val="20"/>
                  <w:u w:val="single"/>
                </w:rPr>
                <w:t>Press release by FTC Solar, Inc. dated August 5, 2026</w:t>
              </w:r>
            </w:hyperlink>
          </w:p>
        </w:tc>
      </w:tr>
      <w:tr>
        <w:trPr/>
        <w:tc>
          <w:tcPr>
            <w:tcW w:w="88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879" w:type="dxa"/>
            <w:gridSpan w:val="9"/>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369" w:type="dxa"/>
        <w:jc w:val="left"/>
        <w:tblInd w:w="0" w:type="dxa"/>
        <w:tblLayout w:type="fixed"/>
        <w:tblCellMar>
          <w:top w:w="28" w:type="dxa"/>
          <w:left w:w="28" w:type="dxa"/>
          <w:bottom w:w="28" w:type="dxa"/>
          <w:right w:w="28" w:type="dxa"/>
        </w:tblCellMar>
      </w:tblPr>
      <w:tblGrid>
        <w:gridCol w:w="556"/>
        <w:gridCol w:w="1351"/>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FTC SOLAR,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4"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Cathy Behnen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Cathy Behnen, </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ftci-ex10_1.htm"/>
      <w:bookmarkStart w:id="3" w:name="ksftciex10_1"/>
      <w:bookmarkEnd w:id="2"/>
      <w:bookmarkEnd w:id="3"/>
      <w:r>
        <w:rPr>
          <w:rFonts w:ascii="Times New Roman" w:hAnsi="Times New Roman"/>
          <w:b/>
          <w:color w:val="000000"/>
          <w:sz w:val="22"/>
        </w:rPr>
        <w:t>Exhibit 10.1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PURCHASE AGREEMENT</w:t>
      </w:r>
    </w:p>
    <w:p>
      <w:pPr>
        <w:pStyle w:val="TextBody"/>
        <w:bidi w:val="0"/>
        <w:spacing w:before="0" w:after="240"/>
        <w:jc w:val="both"/>
        <w:rPr>
          <w:rFonts w:ascii="Times New Roman" w:hAnsi="Times New Roman"/>
          <w:sz w:val="20"/>
        </w:rPr>
      </w:pPr>
      <w:r>
        <w:rPr>
          <w:rFonts w:ascii="Times New Roman" w:hAnsi="Times New Roman"/>
          <w:b/>
          <w:color w:val="000000"/>
          <w:sz w:val="22"/>
        </w:rPr>
        <w:t>THIS PURCHASE AGREEMENT</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xml:space="preserve">), dated effective as of August 4, 2026, is made by and between </w:t>
      </w:r>
      <w:r>
        <w:rPr>
          <w:rFonts w:ascii="Times New Roman" w:hAnsi="Times New Roman"/>
          <w:b/>
          <w:color w:val="000000"/>
          <w:sz w:val="22"/>
        </w:rPr>
        <w:t>FTC SOLAR, INC.</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LINCOLN PARK CAPITAL FUND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LLC</w:t>
      </w:r>
      <w:r>
        <w:rPr>
          <w:rFonts w:ascii="Times New Roman" w:hAnsi="Times New Roman"/>
          <w:color w:val="000000"/>
          <w:sz w:val="22"/>
        </w:rPr>
        <w:t>, an Illinois limited liability company (the “</w:t>
      </w:r>
      <w:r>
        <w:rPr>
          <w:rFonts w:ascii="Times New Roman" w:hAnsi="Times New Roman"/>
          <w:color w:val="000000"/>
          <w:sz w:val="22"/>
          <w:u w:val="single"/>
        </w:rPr>
        <w:t>Investor</w:t>
      </w:r>
      <w:r>
        <w:rPr>
          <w:rFonts w:ascii="Times New Roman" w:hAnsi="Times New Roman"/>
          <w:color w:val="000000"/>
          <w:sz w:val="20"/>
        </w:rPr>
        <w:t>”</w:t>
      </w:r>
      <w:r>
        <w:rPr>
          <w:rFonts w:ascii="Times New Roman" w:hAnsi="Times New Roman"/>
          <w:color w:val="000000"/>
          <w:sz w:val="22"/>
        </w:rPr>
        <w:t xml:space="preserve">). Capitalized terms used herein and not otherwise defined herein are defined in </w:t>
      </w:r>
      <w:r>
        <w:rPr>
          <w:rFonts w:ascii="Times New Roman" w:hAnsi="Times New Roman"/>
          <w:color w:val="000000"/>
          <w:sz w:val="22"/>
          <w:u w:val="single"/>
        </w:rPr>
        <w:t>Section 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sz w:val="20"/>
        </w:rPr>
      </w:pPr>
      <w:r>
        <w:rPr>
          <w:rFonts w:ascii="Times New Roman" w:hAnsi="Times New Roman"/>
          <w:b/>
          <w:color w:val="000000"/>
          <w:sz w:val="22"/>
        </w:rPr>
        <w:t>WHEREAS: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Subject to the terms and conditions set forth in this Agreement, the Company wishes to sell to the Investor, and the Investor wishes to buy from the Company, up to Twenty Million Dollars ($20,000,000) of the Company’s common stock, $0.0001 par value per share (the “</w:t>
      </w:r>
      <w:r>
        <w:rPr>
          <w:rFonts w:ascii="Times New Roman" w:hAnsi="Times New Roman"/>
          <w:color w:val="000000"/>
          <w:sz w:val="22"/>
          <w:u w:val="single"/>
        </w:rPr>
        <w:t>Common Stock</w:t>
      </w:r>
      <w:r>
        <w:rPr>
          <w:rFonts w:ascii="Times New Roman" w:hAnsi="Times New Roman"/>
          <w:color w:val="000000"/>
          <w:sz w:val="20"/>
        </w:rPr>
        <w:t>”</w:t>
      </w:r>
      <w:r>
        <w:rPr>
          <w:rFonts w:ascii="Times New Roman" w:hAnsi="Times New Roman"/>
          <w:color w:val="000000"/>
          <w:sz w:val="22"/>
        </w:rPr>
        <w:t>). The shares of Common Stock to be purchased hereunder are referred to herein as the “</w:t>
      </w:r>
      <w:r>
        <w:rPr>
          <w:rFonts w:ascii="Times New Roman" w:hAnsi="Times New Roman"/>
          <w:color w:val="000000"/>
          <w:sz w:val="22"/>
          <w:u w:val="single"/>
        </w:rPr>
        <w:t>Purchase Shares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mutual covenants contained in this Agreement, and for other good and valuable consideration, the receipt and adequacy of which are hereby acknowledged, the Company and the Investor hereby agree as follows: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CERTAIN DEFINITIONS.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this Agreement, the following terms shall have the following meanings: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color w:val="000000"/>
          <w:sz w:val="22"/>
          <w:u w:val="single"/>
        </w:rPr>
        <w:t>Accelerated Purchase Date</w:t>
      </w:r>
      <w:r>
        <w:rPr>
          <w:color w:val="000000"/>
        </w:rPr>
        <w:t xml:space="preserve">” </w:t>
      </w:r>
      <w:r>
        <w:rPr>
          <w:rFonts w:ascii="Times New Roman" w:hAnsi="Times New Roman"/>
          <w:color w:val="000000"/>
          <w:sz w:val="22"/>
        </w:rPr>
        <w:t xml:space="preserve">means, with respect to any Accelerated Purchase made pursuant to </w:t>
      </w:r>
      <w:r>
        <w:rPr>
          <w:rFonts w:ascii="Times New Roman" w:hAnsi="Times New Roman"/>
          <w:color w:val="000000"/>
          <w:sz w:val="22"/>
          <w:u w:val="single"/>
        </w:rPr>
        <w:t>Section 2(b)</w:t>
      </w:r>
      <w:r>
        <w:rPr>
          <w:color w:val="000000"/>
        </w:rPr>
        <w:t xml:space="preserve"> </w:t>
      </w:r>
      <w:r>
        <w:rPr>
          <w:rFonts w:ascii="Times New Roman" w:hAnsi="Times New Roman"/>
          <w:color w:val="000000"/>
          <w:sz w:val="22"/>
        </w:rPr>
        <w:t xml:space="preserve">hereof or any Additional Accelerated Purchase pursuant to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 xml:space="preserve">hereof, the Business Day immediately following the applicable Regular Purchase Date with respect to the corresponding Regular Purchase made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color w:val="000000"/>
          <w:sz w:val="22"/>
          <w:u w:val="single"/>
        </w:rPr>
        <w:t>Accelerated Purchase Period</w:t>
      </w:r>
      <w:r>
        <w:rPr>
          <w:color w:val="000000"/>
        </w:rPr>
        <w:t xml:space="preserve">” </w:t>
      </w:r>
      <w:r>
        <w:rPr>
          <w:rFonts w:ascii="Times New Roman" w:hAnsi="Times New Roman"/>
          <w:color w:val="000000"/>
          <w:sz w:val="22"/>
        </w:rPr>
        <w:t xml:space="preserve">means, with respect to an Accelerated Purchase made pursuant to </w:t>
      </w:r>
      <w:r>
        <w:rPr>
          <w:rFonts w:ascii="Times New Roman" w:hAnsi="Times New Roman"/>
          <w:color w:val="000000"/>
          <w:sz w:val="22"/>
          <w:u w:val="single"/>
        </w:rPr>
        <w:t>Section 2(b)</w:t>
      </w:r>
      <w:r>
        <w:rPr>
          <w:color w:val="000000"/>
        </w:rPr>
        <w:t xml:space="preserve"> </w:t>
      </w:r>
      <w:r>
        <w:rPr>
          <w:rFonts w:ascii="Times New Roman" w:hAnsi="Times New Roman"/>
          <w:color w:val="000000"/>
          <w:sz w:val="22"/>
        </w:rPr>
        <w:t>hereof, such period of time on the Accelerated Purchase Date beginning at the official open of trading on the Principal Market, and ending at the earliest of (i) the official close of trading on the Principal Market on such Accelerated Purchase Date, (ii) such time that the total number (or volume) of shares of Common Stock traded on the Principal Market has exceeded the quotient of (A) the Accelerated Purchase Share Amount, divided by (B) 0.3, and (iii) such time on the Accelerated Purchase Date that the Sale Price has fallen below any minimum price threshold set forth in the applicable Purchase Notice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color w:val="000000"/>
          <w:sz w:val="22"/>
          <w:u w:val="single"/>
        </w:rPr>
        <w:t>Accelerated Purchase Share Amount</w:t>
      </w:r>
      <w:r>
        <w:rPr>
          <w:color w:val="000000"/>
        </w:rPr>
        <w:t xml:space="preserve">” </w:t>
      </w:r>
      <w:r>
        <w:rPr>
          <w:rFonts w:ascii="Times New Roman" w:hAnsi="Times New Roman"/>
          <w:color w:val="000000"/>
          <w:sz w:val="22"/>
        </w:rPr>
        <w:t xml:space="preserve">means, with respect to an Accelerated Purchase made pursuant to </w:t>
      </w:r>
      <w:r>
        <w:rPr>
          <w:rFonts w:ascii="Times New Roman" w:hAnsi="Times New Roman"/>
          <w:color w:val="000000"/>
          <w:sz w:val="22"/>
          <w:u w:val="single"/>
        </w:rPr>
        <w:t>Section 2(b)</w:t>
      </w:r>
      <w:r>
        <w:rPr>
          <w:color w:val="000000"/>
        </w:rPr>
        <w:t xml:space="preserve"> </w:t>
      </w:r>
      <w:r>
        <w:rPr>
          <w:rFonts w:ascii="Times New Roman" w:hAnsi="Times New Roman"/>
          <w:color w:val="000000"/>
          <w:sz w:val="22"/>
        </w:rPr>
        <w:t xml:space="preserve">hereof or an Additional Accelerated Purchase made pursuant to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hereof, the number of Purchase Shares directed by the Company to be purchased by the Investor in a Purchase Notice, which number of Purchase Shares shall not exceed the lesser of (i) 300% of the applicable Regular Purchase Share Limit for the corresponding Regular Purchase and (ii) 30% of the total volume of shares of Common Stock traded on the Principal Market during the Accelerated Purchase Period or the Additional Accelerated Purchase Period,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color w:val="000000"/>
          <w:sz w:val="22"/>
          <w:u w:val="single"/>
        </w:rPr>
        <w:t>Additional Accelerated Purchase Period</w:t>
      </w:r>
      <w:r>
        <w:rPr>
          <w:color w:val="000000"/>
        </w:rPr>
        <w:t xml:space="preserve">” </w:t>
      </w:r>
      <w:r>
        <w:rPr>
          <w:rFonts w:ascii="Times New Roman" w:hAnsi="Times New Roman"/>
          <w:color w:val="000000"/>
          <w:sz w:val="22"/>
        </w:rPr>
        <w:t xml:space="preserve">means, with respect to an Additional Accelerated Purchase pursuant to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 xml:space="preserve">hereof, such period of time on the Accelerated Purchase Date beginning at the latest of (i) the end of the Accelerated Purchase Period for the corresponding Accelerated Purchase made pursuant to </w:t>
      </w:r>
      <w:r>
        <w:rPr>
          <w:rFonts w:ascii="Times New Roman" w:hAnsi="Times New Roman"/>
          <w:color w:val="000000"/>
          <w:sz w:val="22"/>
          <w:u w:val="single"/>
        </w:rPr>
        <w:t>Section 2(b)</w:t>
      </w:r>
      <w:r>
        <w:rPr>
          <w:color w:val="000000"/>
        </w:rPr>
        <w:t xml:space="preserve"> </w:t>
      </w:r>
      <w:r>
        <w:rPr>
          <w:rFonts w:ascii="Times New Roman" w:hAnsi="Times New Roman"/>
          <w:color w:val="000000"/>
          <w:sz w:val="22"/>
        </w:rPr>
        <w:t xml:space="preserve">hereof on such Accelerated Purchase Date, (ii) the end of the Additional Accelerated Purchase Period for the most recently completed prior Additional Accelerated Purchase pursuant to </w:t>
      </w:r>
      <w:r>
        <w:rPr>
          <w:rFonts w:ascii="Times New Roman" w:hAnsi="Times New Roman"/>
          <w:color w:val="000000"/>
          <w:sz w:val="22"/>
          <w:u w:val="single"/>
        </w:rPr>
        <w:t>Section 2(c)</w:t>
      </w:r>
      <w:r>
        <w:rPr>
          <w:color w:val="000000"/>
        </w:rPr>
        <w:t xml:space="preserve"> </w:t>
      </w:r>
      <w:r>
        <w:rPr>
          <w:rFonts w:ascii="Times New Roman" w:hAnsi="Times New Roman"/>
          <w:color w:val="000000"/>
          <w:sz w:val="22"/>
        </w:rPr>
        <w:t xml:space="preserve">hereof on such Accelerated Purchase Date, as applicable, and (iii) the time at which all Purchase Shares for all prior Purchases, including, those effected on the applicable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Accelerated Purchase Date have theretofore been received by the Investor as DWAC Shares in accordance with this Agreement, and ending at the earliest of (i) the official close of trading on the Principal Market on the Accelerated Purchase Date, (ii) such time that the total number (or volume) of shares of Common Stock traded on the Principal Market has exceeded the quotient of (A) the Accelerated Purchase Share Amount, divided by (B) 0.3, and (iii) such time that the Sale Price has fallen below any minimum price threshold set forth in the applicable Purchase Notice by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color w:val="000000"/>
          <w:sz w:val="22"/>
          <w:u w:val="single"/>
        </w:rPr>
        <w:t>Alternate Adjusted Regular Purchase Share Limit</w:t>
      </w:r>
      <w:r>
        <w:rPr>
          <w:color w:val="000000"/>
        </w:rPr>
        <w:t xml:space="preserve">” </w:t>
      </w:r>
      <w:r>
        <w:rPr>
          <w:rFonts w:ascii="Times New Roman" w:hAnsi="Times New Roman"/>
          <w:color w:val="000000"/>
          <w:sz w:val="22"/>
        </w:rPr>
        <w:t xml:space="preserve">means, with respect to a Regular Purchase made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hereof, the maximum number of Purchase Shares which, taking into account the applicable per share Purchase Price therefor calculated in accordance with this Agreement, would enable the Company to deliver to the Investor, on the applicable Regular Purchase Date for such Regular Purchase, a Regular Purchase Notice for a Purchase Amount equal to, or as closely approximating without exceeding, One Hundred Thousand Dollars ($100,000).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color w:val="000000"/>
          <w:sz w:val="22"/>
          <w:u w:val="single"/>
        </w:rPr>
        <w:t>Available Amount</w:t>
      </w:r>
      <w:r>
        <w:rPr>
          <w:color w:val="000000"/>
        </w:rPr>
        <w:t xml:space="preserve">” </w:t>
      </w:r>
      <w:r>
        <w:rPr>
          <w:rFonts w:ascii="Times New Roman" w:hAnsi="Times New Roman"/>
          <w:color w:val="000000"/>
          <w:sz w:val="22"/>
        </w:rPr>
        <w:t xml:space="preserve">means, initially, Twenty Million Dollars ($20,000,000) in the aggregate, which amount shall be reduced by the Purchase Amount each time the Investor purchases shares of Common Stock pursuant to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color w:val="000000"/>
          <w:sz w:val="22"/>
          <w:u w:val="single"/>
        </w:rPr>
        <w:t>Average Price</w:t>
      </w:r>
      <w:r>
        <w:rPr>
          <w:color w:val="000000"/>
        </w:rPr>
        <w:t xml:space="preserve">” </w:t>
      </w:r>
      <w:r>
        <w:rPr>
          <w:rFonts w:ascii="Times New Roman" w:hAnsi="Times New Roman"/>
          <w:color w:val="000000"/>
          <w:sz w:val="22"/>
        </w:rPr>
        <w:t>means a price per Purchase Share (rounded to the nearest tenth of a cent) equal to the quotient obtained by dividing (i) the aggregate gross purchase price paid by the Investor for all Purchase Shares purchased pursuant to this Agreement, by (ii) the aggregate number of Purchase Shares issued pursuant to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color w:val="000000"/>
        </w:rPr>
        <w:t>“</w:t>
      </w:r>
      <w:r>
        <w:rPr>
          <w:rFonts w:ascii="Times New Roman" w:hAnsi="Times New Roman"/>
          <w:color w:val="000000"/>
          <w:sz w:val="22"/>
          <w:u w:val="single"/>
        </w:rPr>
        <w:t>Bankruptcy Law</w:t>
      </w:r>
      <w:r>
        <w:rPr>
          <w:color w:val="000000"/>
        </w:rPr>
        <w:t xml:space="preserve">” </w:t>
      </w:r>
      <w:r>
        <w:rPr>
          <w:rFonts w:ascii="Times New Roman" w:hAnsi="Times New Roman"/>
          <w:color w:val="000000"/>
          <w:sz w:val="22"/>
        </w:rPr>
        <w:t>means Title 11, U.S. Code, or any similar federal or state law for the relief of debtors.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color w:val="000000"/>
          <w:sz w:val="22"/>
          <w:u w:val="single"/>
        </w:rPr>
        <w:t>Base Price</w:t>
      </w:r>
      <w:r>
        <w:rPr>
          <w:color w:val="000000"/>
        </w:rPr>
        <w:t xml:space="preserve">” </w:t>
      </w:r>
      <w:r>
        <w:rPr>
          <w:rFonts w:ascii="Times New Roman" w:hAnsi="Times New Roman"/>
          <w:color w:val="000000"/>
          <w:sz w:val="22"/>
        </w:rPr>
        <w:t>means a price per Purchase Share equal to the sum of (i) the Signing Market Price and (ii) $0.0504 (subject to adjustment for any reorganization, recapitalization, non-cash dividend, stock split, reverse stock split or other similar transaction that occurs on or after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color w:val="000000"/>
          <w:sz w:val="22"/>
          <w:u w:val="single"/>
        </w:rPr>
        <w:t>Business Day</w:t>
      </w:r>
      <w:r>
        <w:rPr>
          <w:color w:val="000000"/>
        </w:rPr>
        <w:t xml:space="preserve">” </w:t>
      </w:r>
      <w:r>
        <w:rPr>
          <w:rFonts w:ascii="Times New Roman" w:hAnsi="Times New Roman"/>
          <w:color w:val="000000"/>
          <w:sz w:val="22"/>
        </w:rPr>
        <w:t xml:space="preserve">means any day on which the Principal Market is open for trading, including any day on which the Principal Market is open for trading for a period of time less than the customary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color w:val="000000"/>
        </w:rPr>
        <w:t>“</w:t>
      </w:r>
      <w:r>
        <w:rPr>
          <w:rFonts w:ascii="Times New Roman" w:hAnsi="Times New Roman"/>
          <w:color w:val="000000"/>
          <w:sz w:val="22"/>
          <w:u w:val="single"/>
        </w:rPr>
        <w:t>Closing Sale Price</w:t>
      </w:r>
      <w:r>
        <w:rPr>
          <w:color w:val="000000"/>
        </w:rPr>
        <w:t xml:space="preserve">” </w:t>
      </w:r>
      <w:r>
        <w:rPr>
          <w:rFonts w:ascii="Times New Roman" w:hAnsi="Times New Roman"/>
          <w:color w:val="000000"/>
          <w:sz w:val="22"/>
        </w:rPr>
        <w:t xml:space="preserve">means, for any security as of any date, the last closing sale price for such security on the Principal Market as reported by the Principal Market.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color w:val="000000"/>
        </w:rPr>
        <w:t>“</w:t>
      </w:r>
      <w:r>
        <w:rPr>
          <w:rFonts w:ascii="Times New Roman" w:hAnsi="Times New Roman"/>
          <w:color w:val="000000"/>
          <w:sz w:val="22"/>
          <w:u w:val="single"/>
        </w:rPr>
        <w:t>Confidential Information</w:t>
      </w:r>
      <w:r>
        <w:rPr>
          <w:color w:val="000000"/>
        </w:rPr>
        <w:t xml:space="preserve">” </w:t>
      </w:r>
      <w:r>
        <w:rPr>
          <w:rFonts w:ascii="Times New Roman" w:hAnsi="Times New Roman"/>
          <w:color w:val="000000"/>
          <w:sz w:val="22"/>
        </w:rPr>
        <w:t xml:space="preserve">means any information disclosed by either party to the other party, either directly or indirectly, in writing, orally or by inspection of tangible objects (including, without limitation, documents, prototypes, samples, plant and equipment), which is designated as “Confidential,” “Proprietary” or some similar designation. Information communicated orally shall be considered Confidential Information if such information is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without confidentiality restriction at the time of disclosure by the disclosing party as shown by the receiving party’s files and records immediately prior to the time of disclosure; (iv) is obtained by the receiving party from a third party without a breach of such third party’s obligations of confidentiality; or (v) is independently developed by the receiving party without use of or reference to the disclosing party’s Confidential Information, as shown by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documents and other competent evidence in the receiving party’s possession. Confidential Information that is required by law to be disclosed by the receiving party may be so disclosed, provided that (X) the receiving party (1) gives the disclosing party prompt written notice, if legally permissible, of such requirement prior to such disclosure and assistance, if legally permissible, in obtaining an order protecting the information from public disclosure and (2) will furnish only that proportion of the Confidential Information that is legally required to be disclosed, and (Y) any Confidential Information so disclosed shall maintain its confidentiality protection for all purposes other than such legally compelled disclosure.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color w:val="000000"/>
          <w:sz w:val="22"/>
          <w:u w:val="single"/>
        </w:rPr>
        <w:t>DTC</w:t>
      </w:r>
      <w:r>
        <w:rPr>
          <w:color w:val="000000"/>
        </w:rPr>
        <w:t xml:space="preserve">” </w:t>
      </w:r>
      <w:r>
        <w:rPr>
          <w:rFonts w:ascii="Times New Roman" w:hAnsi="Times New Roman"/>
          <w:color w:val="000000"/>
          <w:sz w:val="22"/>
        </w:rPr>
        <w:t>means The Depository Trust Company, or any successor performing substantially the same function for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color w:val="000000"/>
        </w:rPr>
        <w:t>“</w:t>
      </w:r>
      <w:r>
        <w:rPr>
          <w:rFonts w:ascii="Times New Roman" w:hAnsi="Times New Roman"/>
          <w:color w:val="000000"/>
          <w:sz w:val="22"/>
          <w:u w:val="single"/>
        </w:rPr>
        <w:t>DWAC Shares</w:t>
      </w:r>
      <w:r>
        <w:rPr>
          <w:color w:val="000000"/>
        </w:rPr>
        <w:t xml:space="preserve">” </w:t>
      </w:r>
      <w:r>
        <w:rPr>
          <w:rFonts w:ascii="Times New Roman" w:hAnsi="Times New Roman"/>
          <w:color w:val="000000"/>
          <w:sz w:val="22"/>
        </w:rPr>
        <w:t xml:space="preserve">means shares of Common Stock that are (i) issued in electronic form, (ii) freely tradable and transferable and without restriction on resale and (iii) timely credited by the Company to the Investor’s or its designee’s specified Deposit/Withdrawal at Custodian (DWAC) account with DTC under its Fast Automated Securities Transfer (FAST) Program, or any similar program hereafter adopted by DTC performing substantially the same function.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color w:val="000000"/>
        </w:rPr>
        <w:t>“</w:t>
      </w:r>
      <w:r>
        <w:rPr>
          <w:rFonts w:ascii="Times New Roman" w:hAnsi="Times New Roman"/>
          <w:color w:val="000000"/>
          <w:sz w:val="22"/>
          <w:u w:val="single"/>
        </w:rPr>
        <w:t>Exchange Act</w:t>
      </w:r>
      <w:r>
        <w:rPr>
          <w:color w:val="000000"/>
        </w:rPr>
        <w:t xml:space="preserve">” </w:t>
      </w:r>
      <w:r>
        <w:rPr>
          <w:rFonts w:ascii="Times New Roman" w:hAnsi="Times New Roman"/>
          <w:color w:val="000000"/>
          <w:sz w:val="22"/>
        </w:rPr>
        <w:t xml:space="preserve">means the Securities Exchange Act of 1934, as amended, and the rules and regulations promulgated thereunder.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color w:val="000000"/>
        </w:rPr>
        <w:t>“</w:t>
      </w:r>
      <w:r>
        <w:rPr>
          <w:rFonts w:ascii="Times New Roman" w:hAnsi="Times New Roman"/>
          <w:color w:val="000000"/>
          <w:sz w:val="22"/>
          <w:u w:val="single"/>
        </w:rPr>
        <w:t>Floor Price</w:t>
      </w:r>
      <w:r>
        <w:rPr>
          <w:color w:val="000000"/>
        </w:rPr>
        <w:t xml:space="preserve">” </w:t>
      </w:r>
      <w:r>
        <w:rPr>
          <w:rFonts w:ascii="Times New Roman" w:hAnsi="Times New Roman"/>
          <w:color w:val="000000"/>
          <w:sz w:val="22"/>
        </w:rPr>
        <w:t xml:space="preserve">means $1.00, which shall be adjusted for any reorganization, recapitalization, non-cash dividend, stock split, reverse stock split or other similar transaction and, effective upon the consummation of any of the foregoing, the Floor Price shall mean the </w:t>
      </w:r>
      <w:r>
        <w:rPr>
          <w:rFonts w:ascii="Times New Roman" w:hAnsi="Times New Roman"/>
          <w:color w:val="000000"/>
          <w:sz w:val="22"/>
          <w:u w:val="single"/>
        </w:rPr>
        <w:t>lower</w:t>
      </w:r>
      <w:r>
        <w:rPr>
          <w:color w:val="000000"/>
        </w:rPr>
        <w:t xml:space="preserve"> </w:t>
      </w:r>
      <w:r>
        <w:rPr>
          <w:rFonts w:ascii="Times New Roman" w:hAnsi="Times New Roman"/>
          <w:color w:val="000000"/>
          <w:sz w:val="22"/>
        </w:rPr>
        <w:t>of (i) the adjusted price and (ii) $1.00.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color w:val="000000"/>
        </w:rPr>
        <w:t>“</w:t>
      </w:r>
      <w:r>
        <w:rPr>
          <w:rFonts w:ascii="Times New Roman" w:hAnsi="Times New Roman"/>
          <w:color w:val="000000"/>
          <w:sz w:val="22"/>
          <w:u w:val="single"/>
        </w:rPr>
        <w:t>Fully Adjusted Regular Purchase Share Limit</w:t>
      </w:r>
      <w:r>
        <w:rPr>
          <w:color w:val="000000"/>
        </w:rPr>
        <w:t xml:space="preserve">” </w:t>
      </w:r>
      <w:r>
        <w:rPr>
          <w:rFonts w:ascii="Times New Roman" w:hAnsi="Times New Roman"/>
          <w:color w:val="000000"/>
          <w:sz w:val="22"/>
        </w:rPr>
        <w:t xml:space="preserve">means, with respect to any reorganization, recapitalization, non-cash dividend, stock split, reverse stock split or other similar transaction from and after the date of this Agreement, the Regular Purchase Share Limit in effect on the applicable date of determination, after giving effect to the full proportionate adjustment thereto made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hereof for or in respect of such reorganization, recapitalization, non-cash dividend, stock split, reverse stock split or other similar transaction.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color w:val="000000"/>
        </w:rPr>
        <w:t>“</w:t>
      </w:r>
      <w:r>
        <w:rPr>
          <w:rFonts w:ascii="Times New Roman" w:hAnsi="Times New Roman"/>
          <w:color w:val="000000"/>
          <w:sz w:val="22"/>
          <w:u w:val="single"/>
        </w:rPr>
        <w:t>Material Adverse Effect</w:t>
      </w:r>
      <w:r>
        <w:rPr>
          <w:color w:val="000000"/>
        </w:rPr>
        <w:t xml:space="preserve">” ‎ </w:t>
      </w:r>
      <w:r>
        <w:rPr>
          <w:rFonts w:ascii="Times New Roman" w:hAnsi="Times New Roman"/>
          <w:color w:val="000000"/>
          <w:sz w:val="22"/>
        </w:rPr>
        <w:t>means any material adverse effect on (i) the enforceability of any Transaction Document, (ii) the results of operations, assets, business or financial condition of the Company and its Subsidiaries, taken as a whole, other than any material adverse effect that resulted primarily from (A) any change in the United States or foreign economies or securities or financial markets in general that does not have a disproportionate effect on the Company and its Subsidiaries, taken as a whole, (B) any change that generally affects the industry in which the Company and its Subsidiaries operate that does not have a disproportionate effect on the Company and its Subsidiaries, taken as a whole, (C) any change arising in connection with earthquakes, hostilities, acts of war, sabotage or terrorism or military actions or any escalation or material worsening of any such hostilities, acts of war, sabotage or terrorism or military actions existing as of the date hereof, (D) any action taken by the Investor, its affiliates or its or their successors and assigns with respect to the transactions contemplated by this Agreement, (E) the effect of any change in applicable laws or accounting rules that does not have a disproportionate effect on the Company and its Subsidiaries, taken as a whole, or (F) any change resulting from compliance with terms of this Agreement or the consummation of the transactions contemplated by this Agreement, or (iii) the Company’s ability to perform in any material respect on a timely basis its obligations under any Transaction Document to be performed as of the date of determination.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color w:val="000000"/>
        </w:rPr>
        <w:t>“</w:t>
      </w:r>
      <w:r>
        <w:rPr>
          <w:rFonts w:ascii="Times New Roman" w:hAnsi="Times New Roman"/>
          <w:color w:val="000000"/>
          <w:sz w:val="22"/>
          <w:u w:val="single"/>
        </w:rPr>
        <w:t>Maturity Date</w:t>
      </w:r>
      <w:r>
        <w:rPr>
          <w:color w:val="000000"/>
        </w:rPr>
        <w:t xml:space="preserve">” </w:t>
      </w:r>
      <w:r>
        <w:rPr>
          <w:rFonts w:ascii="Times New Roman" w:hAnsi="Times New Roman"/>
          <w:color w:val="000000"/>
          <w:sz w:val="22"/>
        </w:rPr>
        <w:t>means the first day of the month immediately following the twenty-four (24) month anniversary of the Commencement Date (as defined herein).</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color w:val="000000"/>
        </w:rPr>
        <w:t>“</w:t>
      </w:r>
      <w:r>
        <w:rPr>
          <w:rFonts w:ascii="Times New Roman" w:hAnsi="Times New Roman"/>
          <w:color w:val="000000"/>
          <w:sz w:val="22"/>
          <w:u w:val="single"/>
        </w:rPr>
        <w:t>New Registration Statement</w:t>
      </w:r>
      <w:r>
        <w:rPr>
          <w:color w:val="000000"/>
        </w:rPr>
        <w:t xml:space="preserve">” </w:t>
      </w:r>
      <w:r>
        <w:rPr>
          <w:rFonts w:ascii="Times New Roman" w:hAnsi="Times New Roman"/>
          <w:color w:val="000000"/>
          <w:sz w:val="22"/>
        </w:rPr>
        <w:t>has the meaning set forth in the Registration Rights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color w:val="000000"/>
        </w:rPr>
        <w:t>“</w:t>
      </w:r>
      <w:r>
        <w:rPr>
          <w:rFonts w:ascii="Times New Roman" w:hAnsi="Times New Roman"/>
          <w:color w:val="000000"/>
          <w:sz w:val="22"/>
          <w:u w:val="single"/>
        </w:rPr>
        <w:t>Person</w:t>
      </w:r>
      <w:r>
        <w:rPr>
          <w:color w:val="000000"/>
        </w:rPr>
        <w:t xml:space="preserve">” </w:t>
      </w:r>
      <w:r>
        <w:rPr>
          <w:rFonts w:ascii="Times New Roman" w:hAnsi="Times New Roman"/>
          <w:color w:val="000000"/>
          <w:sz w:val="22"/>
        </w:rPr>
        <w:t xml:space="preserve">means an individual or entity including but not limited to any limited liability company, a partnership, a joint venture, a corporation, a trust, an unincorporated organization and a government or any department or agency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color w:val="000000"/>
        </w:rPr>
        <w:t>“</w:t>
      </w:r>
      <w:r>
        <w:rPr>
          <w:rFonts w:ascii="Times New Roman" w:hAnsi="Times New Roman"/>
          <w:color w:val="000000"/>
          <w:sz w:val="22"/>
          <w:u w:val="single"/>
        </w:rPr>
        <w:t>Principal Market</w:t>
      </w:r>
      <w:r>
        <w:rPr>
          <w:color w:val="000000"/>
        </w:rPr>
        <w:t xml:space="preserve">” </w:t>
      </w:r>
      <w:r>
        <w:rPr>
          <w:rFonts w:ascii="Times New Roman" w:hAnsi="Times New Roman"/>
          <w:color w:val="000000"/>
          <w:sz w:val="22"/>
        </w:rPr>
        <w:t>means The Nasdaq Capital Market (or any nationally recognized successor thereto); provided, however, that in the event the Company’s Common Stock is ever listed or traded on The Nasdaq Global Market, The Nasdaq Global Select Market, the New York Stock Exchange, NYSE American, the NYSE Arca, or the OTCQX or OTCQB operated by the OTC Markets Group, Inc. (or any nationally recognized successor to any of the foregoing), then the “Principal Market” shall mean such other market or exchange on which the Company’s Common Stock is then listed or traded.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color w:val="000000"/>
        </w:rPr>
        <w:t>“</w:t>
      </w:r>
      <w:r>
        <w:rPr>
          <w:rFonts w:ascii="Times New Roman" w:hAnsi="Times New Roman"/>
          <w:color w:val="000000"/>
          <w:sz w:val="22"/>
          <w:u w:val="single"/>
        </w:rPr>
        <w:t>Purchase</w:t>
      </w:r>
      <w:r>
        <w:rPr>
          <w:color w:val="000000"/>
        </w:rPr>
        <w:t xml:space="preserve">” </w:t>
      </w:r>
      <w:r>
        <w:rPr>
          <w:rFonts w:ascii="Times New Roman" w:hAnsi="Times New Roman"/>
          <w:color w:val="000000"/>
          <w:sz w:val="22"/>
        </w:rPr>
        <w:t>means any Regular Purchase, Accelerated Purchase or Additional Accelerated Purchase made hereunder, as applicable.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color w:val="000000"/>
        </w:rPr>
        <w:t>“</w:t>
      </w:r>
      <w:r>
        <w:rPr>
          <w:rFonts w:ascii="Times New Roman" w:hAnsi="Times New Roman"/>
          <w:color w:val="000000"/>
          <w:sz w:val="22"/>
          <w:u w:val="single"/>
        </w:rPr>
        <w:t>Purchase Amount</w:t>
      </w:r>
      <w:r>
        <w:rPr>
          <w:color w:val="000000"/>
        </w:rPr>
        <w:t xml:space="preserve">” </w:t>
      </w:r>
      <w:r>
        <w:rPr>
          <w:rFonts w:ascii="Times New Roman" w:hAnsi="Times New Roman"/>
          <w:color w:val="000000"/>
          <w:sz w:val="22"/>
        </w:rPr>
        <w:t xml:space="preserve">means, with respect to any Regular Purchase, Accelerated Purchase or Additional Accelerated Purchase made hereunder, as applicable, the portion of the Available Amount to be purchased by the Investor pursuant to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color w:val="000000"/>
          <w:u w:val="single"/>
        </w:rPr>
        <w:t>“</w:t>
      </w:r>
      <w:r>
        <w:rPr>
          <w:rFonts w:ascii="Times New Roman" w:hAnsi="Times New Roman"/>
          <w:color w:val="000000"/>
          <w:sz w:val="22"/>
          <w:u w:val="single"/>
        </w:rPr>
        <w:t>Purchase Notice</w:t>
      </w:r>
      <w:r>
        <w:rPr>
          <w:color w:val="000000"/>
        </w:rPr>
        <w:t xml:space="preserve">” </w:t>
      </w:r>
      <w:r>
        <w:rPr>
          <w:rFonts w:ascii="Times New Roman" w:hAnsi="Times New Roman"/>
          <w:color w:val="000000"/>
          <w:sz w:val="22"/>
        </w:rPr>
        <w:t xml:space="preserve">means a notice delivered to the Investor pursuant to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with respect to any Regular Purchase, Accelerated Purchase or Additional Accelerated Purchase,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pPr>
      <w:r>
        <w:rPr>
          <w:color w:val="000000"/>
        </w:rPr>
        <w:t>“</w:t>
      </w:r>
      <w:r>
        <w:rPr>
          <w:rFonts w:ascii="Times New Roman" w:hAnsi="Times New Roman"/>
          <w:color w:val="000000"/>
          <w:sz w:val="22"/>
          <w:u w:val="single"/>
        </w:rPr>
        <w:t>Registration Rights Agreement</w:t>
      </w:r>
      <w:r>
        <w:rPr>
          <w:color w:val="000000"/>
        </w:rPr>
        <w:t xml:space="preserve">” </w:t>
      </w:r>
      <w:r>
        <w:rPr>
          <w:rFonts w:ascii="Times New Roman" w:hAnsi="Times New Roman"/>
          <w:color w:val="000000"/>
          <w:sz w:val="22"/>
        </w:rPr>
        <w:t>means that certain Registration Rights Agreement, of even date herewith, between the Company and the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pPr>
      <w:r>
        <w:rPr>
          <w:color w:val="000000"/>
        </w:rPr>
        <w:t>“</w:t>
      </w:r>
      <w:r>
        <w:rPr>
          <w:rFonts w:ascii="Times New Roman" w:hAnsi="Times New Roman"/>
          <w:color w:val="000000"/>
          <w:sz w:val="22"/>
          <w:u w:val="single"/>
        </w:rPr>
        <w:t>Registration Statement</w:t>
      </w:r>
      <w:r>
        <w:rPr>
          <w:color w:val="000000"/>
        </w:rPr>
        <w:t xml:space="preserve">” </w:t>
      </w:r>
      <w:r>
        <w:rPr>
          <w:rFonts w:ascii="Times New Roman" w:hAnsi="Times New Roman"/>
          <w:color w:val="000000"/>
          <w:sz w:val="22"/>
        </w:rPr>
        <w:t>has the meaning set forth in the Registration Rights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pPr>
      <w:r>
        <w:rPr>
          <w:color w:val="000000"/>
        </w:rPr>
        <w:t>“</w:t>
      </w:r>
      <w:r>
        <w:rPr>
          <w:rFonts w:ascii="Times New Roman" w:hAnsi="Times New Roman"/>
          <w:color w:val="000000"/>
          <w:sz w:val="22"/>
          <w:u w:val="single"/>
        </w:rPr>
        <w:t>Regular Purchase Date</w:t>
      </w:r>
      <w:r>
        <w:rPr>
          <w:color w:val="000000"/>
        </w:rPr>
        <w:t xml:space="preserve">” </w:t>
      </w:r>
      <w:r>
        <w:rPr>
          <w:rFonts w:ascii="Times New Roman" w:hAnsi="Times New Roman"/>
          <w:color w:val="000000"/>
          <w:sz w:val="22"/>
        </w:rPr>
        <w:t xml:space="preserve">means, with respect to a Regular Purchase made pursuant to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hereof, the Business Day for which the Investor receives, after 4:00 p.m., Eastern time, on such Business Day, or thereafter as permitted by </w:t>
      </w:r>
      <w:r>
        <w:rPr>
          <w:rFonts w:ascii="Times New Roman" w:hAnsi="Times New Roman"/>
          <w:color w:val="000000"/>
          <w:sz w:val="22"/>
          <w:u w:val="single"/>
        </w:rPr>
        <w:t>Section 2(a)</w:t>
      </w:r>
      <w:r>
        <w:rPr>
          <w:color w:val="000000"/>
        </w:rPr>
        <w:t xml:space="preserve"> </w:t>
      </w:r>
      <w:r>
        <w:rPr>
          <w:rFonts w:ascii="Times New Roman" w:hAnsi="Times New Roman"/>
          <w:color w:val="000000"/>
          <w:sz w:val="22"/>
        </w:rPr>
        <w:t xml:space="preserve">hereof, a valid Purchase Notice for such Regular Purchase in accordance with this Agreement; provided that any Business Day that is five (5) Business Days or less before the filing of any post-effective amendment to the Registration Statement or New Registration Statement, and until the effective date of any such post-effective amendment to the Registration Statement or New Registration Statement, shall not be a Regular Purchase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pPr>
      <w:r>
        <w:rPr>
          <w:color w:val="000000"/>
        </w:rPr>
        <w:t>“</w:t>
      </w:r>
      <w:r>
        <w:rPr>
          <w:rFonts w:ascii="Times New Roman" w:hAnsi="Times New Roman"/>
          <w:color w:val="000000"/>
          <w:sz w:val="22"/>
          <w:u w:val="single"/>
        </w:rPr>
        <w:t>Regular Purchase Notice</w:t>
      </w:r>
      <w:r>
        <w:rPr>
          <w:color w:val="000000"/>
        </w:rPr>
        <w:t xml:space="preserve">” </w:t>
      </w:r>
      <w:r>
        <w:rPr>
          <w:rFonts w:ascii="Times New Roman" w:hAnsi="Times New Roman"/>
          <w:color w:val="000000"/>
          <w:sz w:val="22"/>
        </w:rPr>
        <w:t>means a Purchase Notice delivered to the Investor with respect to any Regular Purchase.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both"/>
        <w:rPr/>
      </w:pPr>
      <w:r>
        <w:rPr>
          <w:color w:val="000000"/>
        </w:rPr>
        <w:t>“</w:t>
      </w:r>
      <w:r>
        <w:rPr>
          <w:rFonts w:ascii="Times New Roman" w:hAnsi="Times New Roman"/>
          <w:color w:val="000000"/>
          <w:sz w:val="22"/>
          <w:u w:val="single"/>
        </w:rPr>
        <w:t>Regular Purchase Share Limit</w:t>
      </w:r>
      <w:r>
        <w:rPr>
          <w:color w:val="000000"/>
        </w:rPr>
        <w:t xml:space="preserve">” </w:t>
      </w:r>
      <w:r>
        <w:rPr>
          <w:rFonts w:ascii="Times New Roman" w:hAnsi="Times New Roman"/>
          <w:color w:val="000000"/>
          <w:sz w:val="22"/>
        </w:rPr>
        <w:t xml:space="preserve">means Twenty Thousand (20,000) Purchase Shares on each Regular Purchase Date;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 if the Closing Sale Price of the Common Stock is not below $2.00 on the applicable Regular Purchase Date, the Regular Purchase Share Limit shall be increased to up to Thirty Thousand (30,000) Purchase Shares for such Regular Purchase Date; (ii) if the Closing Sale Price of the Common Stock is not below $3.00 on the applicable Regular Purchase Date, the Regular Purchase Share Limit shall be increased to up to Forty Thousand (40,000) Purchase Shares for such Regular Purchase Date; and (iii) if the Closing Sale Price of the Common Stock is not below $4.00 on the applicable Regular Purchase Date, the Regular Purchase Share Limit shall be increased to up to Fifty Thousand (50,000) Purchase Shares for such Regular Purchase Date, in each case such number of Purchase Shares and price per share to be adjusted following any reorganization, recapitalization, non-cash dividend, stock split, reverse stock split, or other similar transaction effected with respect to the Common Stock;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u w:val="single"/>
        </w:rPr>
        <w:t>provided</w:t>
      </w:r>
      <w:r>
        <w:rPr>
          <w:rFonts w:ascii="Times New Roman" w:hAnsi="Times New Roman"/>
          <w:color w:val="000000"/>
          <w:sz w:val="22"/>
        </w:rPr>
        <w:t>, that the Investor’s committed obligation under any single Regular Purchase shall not exceed One Million Dollars ($1,000,000).</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pPr>
      <w:r>
        <w:rPr>
          <w:color w:val="000000"/>
        </w:rPr>
        <w:t>“</w:t>
      </w:r>
      <w:r>
        <w:rPr>
          <w:rFonts w:ascii="Times New Roman" w:hAnsi="Times New Roman"/>
          <w:color w:val="000000"/>
          <w:sz w:val="22"/>
          <w:u w:val="single"/>
        </w:rPr>
        <w:t>Sale Price</w:t>
      </w:r>
      <w:r>
        <w:rPr>
          <w:color w:val="000000"/>
        </w:rPr>
        <w:t xml:space="preserve">” </w:t>
      </w:r>
      <w:r>
        <w:rPr>
          <w:rFonts w:ascii="Times New Roman" w:hAnsi="Times New Roman"/>
          <w:color w:val="000000"/>
          <w:sz w:val="22"/>
        </w:rPr>
        <w:t xml:space="preserve">means any sale price for the shares of Common Stock on the Principal Market as reported by the Principal Market.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pPr>
      <w:r>
        <w:rPr>
          <w:color w:val="000000"/>
        </w:rPr>
        <w:t>“</w:t>
      </w:r>
      <w:r>
        <w:rPr>
          <w:rFonts w:ascii="Times New Roman" w:hAnsi="Times New Roman"/>
          <w:color w:val="000000"/>
          <w:sz w:val="22"/>
          <w:u w:val="single"/>
        </w:rPr>
        <w:t>SEC</w:t>
      </w:r>
      <w:r>
        <w:rPr>
          <w:color w:val="000000"/>
        </w:rPr>
        <w:t xml:space="preserve">” </w:t>
      </w:r>
      <w:r>
        <w:rPr>
          <w:rFonts w:ascii="Times New Roman" w:hAnsi="Times New Roman"/>
          <w:color w:val="000000"/>
          <w:sz w:val="22"/>
        </w:rPr>
        <w:t xml:space="preserve">means the U.S. Securities and Exchange Commission.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pPr>
      <w:r>
        <w:rPr>
          <w:color w:val="000000"/>
        </w:rPr>
        <w:t>“</w:t>
      </w:r>
      <w:r>
        <w:rPr>
          <w:rFonts w:ascii="Times New Roman" w:hAnsi="Times New Roman"/>
          <w:color w:val="000000"/>
          <w:sz w:val="22"/>
          <w:u w:val="single"/>
        </w:rPr>
        <w:t>Securities</w:t>
      </w:r>
      <w:r>
        <w:rPr>
          <w:color w:val="000000"/>
        </w:rPr>
        <w:t xml:space="preserve">” </w:t>
      </w:r>
      <w:r>
        <w:rPr>
          <w:rFonts w:ascii="Times New Roman" w:hAnsi="Times New Roman"/>
          <w:color w:val="000000"/>
          <w:sz w:val="22"/>
        </w:rPr>
        <w:t>means, collectively, the Purchase Shares and the Commitment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(hh)</w:t>
      </w:r>
    </w:p>
    <w:p>
      <w:pPr>
        <w:pStyle w:val="TextBody"/>
        <w:bidi w:val="0"/>
        <w:spacing w:before="0" w:after="240"/>
        <w:jc w:val="both"/>
        <w:rPr/>
      </w:pPr>
      <w:r>
        <w:rPr>
          <w:color w:val="000000"/>
        </w:rPr>
        <w:t>“</w:t>
      </w:r>
      <w:r>
        <w:rPr>
          <w:rFonts w:ascii="Times New Roman" w:hAnsi="Times New Roman"/>
          <w:color w:val="000000"/>
          <w:sz w:val="22"/>
          <w:u w:val="single"/>
        </w:rPr>
        <w:t>Securities Act</w:t>
      </w:r>
      <w:r>
        <w:rPr>
          <w:color w:val="000000"/>
        </w:rPr>
        <w:t xml:space="preserve">” </w:t>
      </w:r>
      <w:r>
        <w:rPr>
          <w:rFonts w:ascii="Times New Roman" w:hAnsi="Times New Roman"/>
          <w:color w:val="000000"/>
          <w:sz w:val="22"/>
        </w:rPr>
        <w:t>means the Securities Act of 1933, as amended, and the rules and regulations promulgated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color w:val="000000"/>
        </w:rPr>
        <w:t>“</w:t>
      </w:r>
      <w:r>
        <w:rPr>
          <w:rFonts w:ascii="Times New Roman" w:hAnsi="Times New Roman"/>
          <w:color w:val="000000"/>
          <w:sz w:val="22"/>
          <w:u w:val="single"/>
        </w:rPr>
        <w:t>Signing Market Price</w:t>
      </w:r>
      <w:r>
        <w:rPr>
          <w:color w:val="000000"/>
        </w:rPr>
        <w:t xml:space="preserve">” </w:t>
      </w:r>
      <w:r>
        <w:rPr>
          <w:rFonts w:ascii="Times New Roman" w:hAnsi="Times New Roman"/>
          <w:color w:val="000000"/>
          <w:sz w:val="22"/>
        </w:rPr>
        <w:t>means $2.706, representing the official closing price of the Common Stock on The Nasdaq Capital Market (as reflected on Nasdaq.com) on the trading day immediately preceding the date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(jj)</w:t>
      </w:r>
    </w:p>
    <w:p>
      <w:pPr>
        <w:pStyle w:val="TextBody"/>
        <w:bidi w:val="0"/>
        <w:spacing w:before="0" w:after="240"/>
        <w:jc w:val="both"/>
        <w:rPr/>
      </w:pPr>
      <w:r>
        <w:rPr>
          <w:color w:val="000000"/>
        </w:rPr>
        <w:t>“</w:t>
      </w:r>
      <w:r>
        <w:rPr>
          <w:rFonts w:ascii="Times New Roman" w:hAnsi="Times New Roman"/>
          <w:color w:val="000000"/>
          <w:sz w:val="22"/>
          <w:u w:val="single"/>
        </w:rPr>
        <w:t>Subsidiary</w:t>
      </w:r>
      <w:r>
        <w:rPr>
          <w:color w:val="000000"/>
        </w:rPr>
        <w:t xml:space="preserve">” </w:t>
      </w:r>
      <w:r>
        <w:rPr>
          <w:rFonts w:ascii="Times New Roman" w:hAnsi="Times New Roman"/>
          <w:color w:val="000000"/>
          <w:sz w:val="22"/>
        </w:rPr>
        <w:t>means any Person the Company wholly owns or controls, or in which the Company, directly or indirectly, owns a majority of the voting stock or similar voting interest, in each case that would be required to be disclosed pursuant to Item 601(b)(21) of Regulation S-K promulgated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(kk)</w:t>
      </w:r>
    </w:p>
    <w:p>
      <w:pPr>
        <w:pStyle w:val="TextBody"/>
        <w:bidi w:val="0"/>
        <w:spacing w:before="0" w:after="240"/>
        <w:jc w:val="both"/>
        <w:rPr/>
      </w:pPr>
      <w:r>
        <w:rPr>
          <w:color w:val="000000"/>
        </w:rPr>
        <w:t>“</w:t>
      </w:r>
      <w:r>
        <w:rPr>
          <w:rFonts w:ascii="Times New Roman" w:hAnsi="Times New Roman"/>
          <w:color w:val="000000"/>
          <w:sz w:val="22"/>
          <w:u w:val="single"/>
        </w:rPr>
        <w:t>Transaction Documents</w:t>
      </w:r>
      <w:r>
        <w:rPr>
          <w:color w:val="000000"/>
        </w:rPr>
        <w:t xml:space="preserve">” </w:t>
      </w:r>
      <w:r>
        <w:rPr>
          <w:rFonts w:ascii="Times New Roman" w:hAnsi="Times New Roman"/>
          <w:color w:val="000000"/>
          <w:sz w:val="22"/>
        </w:rPr>
        <w:t>means, collectively, this Agreement and the schedules and exhibits hereto, the Registration Rights Agreement and the schedules and exhibits thereto and each of the other agreements, documents, certificates and instruments entered into or furnished by the parties hereto in connection with the transactions contemplated hereby and thereby.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(ll)</w:t>
      </w:r>
    </w:p>
    <w:p>
      <w:pPr>
        <w:pStyle w:val="TextBody"/>
        <w:bidi w:val="0"/>
        <w:spacing w:before="0" w:after="240"/>
        <w:jc w:val="both"/>
        <w:rPr/>
      </w:pPr>
      <w:r>
        <w:rPr>
          <w:color w:val="000000"/>
        </w:rPr>
        <w:t>“</w:t>
      </w:r>
      <w:r>
        <w:rPr>
          <w:rFonts w:ascii="Times New Roman" w:hAnsi="Times New Roman"/>
          <w:color w:val="000000"/>
          <w:sz w:val="22"/>
          <w:u w:val="single"/>
        </w:rPr>
        <w:t>Transfer Agent</w:t>
      </w:r>
      <w:r>
        <w:rPr>
          <w:color w:val="000000"/>
        </w:rPr>
        <w:t xml:space="preserve">” </w:t>
      </w:r>
      <w:r>
        <w:rPr>
          <w:rFonts w:ascii="Times New Roman" w:hAnsi="Times New Roman"/>
          <w:color w:val="000000"/>
          <w:sz w:val="22"/>
        </w:rPr>
        <w:t>means Continental Stock Transfer and Trust Company, or such other Person who is then serving as the transfer agent for the Company in respect of the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(mm)</w:t>
      </w:r>
    </w:p>
    <w:p>
      <w:pPr>
        <w:pStyle w:val="TextBody"/>
        <w:bidi w:val="0"/>
        <w:spacing w:before="0" w:after="240"/>
        <w:jc w:val="both"/>
        <w:rPr/>
      </w:pPr>
      <w:r>
        <w:rPr>
          <w:color w:val="000000"/>
        </w:rPr>
        <w:t>“</w:t>
      </w:r>
      <w:r>
        <w:rPr>
          <w:rFonts w:ascii="Times New Roman" w:hAnsi="Times New Roman"/>
          <w:color w:val="000000"/>
          <w:sz w:val="22"/>
          <w:u w:val="single"/>
        </w:rPr>
        <w:t>VWAP</w:t>
      </w:r>
      <w:r>
        <w:rPr>
          <w:color w:val="000000"/>
        </w:rPr>
        <w:t xml:space="preserve">” </w:t>
      </w:r>
      <w:r>
        <w:rPr>
          <w:rFonts w:ascii="Times New Roman" w:hAnsi="Times New Roman"/>
          <w:color w:val="000000"/>
          <w:sz w:val="22"/>
        </w:rPr>
        <w:t xml:space="preserve">means in respect of an applicable Accelerated Purchase Date, the volume weighted average price of the Common Stock on the Principal Market, as reported on the Principal Market or by another reputable source such as Bloomberg, L.P.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PURCHASE OF COMMON STOCK. </w:t>
      </w:r>
    </w:p>
    <w:p>
      <w:pPr>
        <w:pStyle w:val="TextBody"/>
        <w:bidi w:val="0"/>
        <w:spacing w:before="0" w:after="240"/>
        <w:jc w:val="both"/>
        <w:rPr>
          <w:rFonts w:ascii="Times New Roman" w:hAnsi="Times New Roman"/>
          <w:sz w:val="20"/>
        </w:rPr>
      </w:pPr>
      <w:r>
        <w:rPr>
          <w:rFonts w:ascii="Times New Roman" w:hAnsi="Times New Roman"/>
          <w:color w:val="000000"/>
          <w:sz w:val="22"/>
        </w:rPr>
        <w:t>Subject to the terms and conditions set forth in this Agreement, the Company has the right, but not the obligation, to sell to the Investor, in the Company’s sole and absolute discretion, and the Investor has the obligation to purchase from the Company, Purchase Shares as follows: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Commencement of Regular Purchases of Common Stock</w:t>
      </w:r>
      <w:r>
        <w:rPr>
          <w:rFonts w:ascii="Times New Roman" w:hAnsi="Times New Roman"/>
          <w:color w:val="000000"/>
          <w:sz w:val="22"/>
        </w:rPr>
        <w:t xml:space="preserve">. Upon the satisfaction of the conditions set forth in </w:t>
      </w:r>
      <w:r>
        <w:rPr>
          <w:rFonts w:ascii="Times New Roman" w:hAnsi="Times New Roman"/>
          <w:color w:val="000000"/>
          <w:sz w:val="22"/>
          <w:u w:val="single"/>
        </w:rPr>
        <w:t>Sections 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color w:val="000000"/>
        </w:rPr>
        <w:t xml:space="preserve"> </w:t>
      </w:r>
      <w:r>
        <w:rPr>
          <w:rFonts w:ascii="Times New Roman" w:hAnsi="Times New Roman"/>
          <w:color w:val="000000"/>
          <w:sz w:val="22"/>
        </w:rPr>
        <w:t>hereof (the “</w:t>
      </w:r>
      <w:r>
        <w:rPr>
          <w:rFonts w:ascii="Times New Roman" w:hAnsi="Times New Roman"/>
          <w:color w:val="000000"/>
          <w:sz w:val="22"/>
          <w:u w:val="single"/>
        </w:rPr>
        <w:t>Commencement</w:t>
      </w:r>
      <w:r>
        <w:rPr>
          <w:color w:val="000000"/>
        </w:rPr>
        <w:t xml:space="preserve">” </w:t>
      </w:r>
      <w:r>
        <w:rPr>
          <w:rFonts w:ascii="Times New Roman" w:hAnsi="Times New Roman"/>
          <w:color w:val="000000"/>
          <w:sz w:val="22"/>
        </w:rPr>
        <w:t>and the date of satisfaction of such conditions the “</w:t>
      </w:r>
      <w:r>
        <w:rPr>
          <w:rFonts w:ascii="Times New Roman" w:hAnsi="Times New Roman"/>
          <w:color w:val="000000"/>
          <w:sz w:val="22"/>
          <w:u w:val="single"/>
        </w:rPr>
        <w:t>Commencement Date</w:t>
      </w:r>
      <w:r>
        <w:rPr>
          <w:color w:val="000000"/>
        </w:rPr>
        <w:t>”</w:t>
      </w:r>
      <w:r>
        <w:rPr>
          <w:rFonts w:ascii="Times New Roman" w:hAnsi="Times New Roman"/>
          <w:color w:val="000000"/>
          <w:sz w:val="22"/>
        </w:rPr>
        <w:t>) and thereafter, the Company shall have the right, but not the obligation, to require the Investor, by its delivery to the Investor of a Purchase Notice from time to time on any Regular Purchase Date on which the Closing Sale Price is not below the Floor Price, to purchase up to the Regular Purchase Share Limit (each such purchase, a “</w:t>
      </w:r>
      <w:r>
        <w:rPr>
          <w:rFonts w:ascii="Times New Roman" w:hAnsi="Times New Roman"/>
          <w:color w:val="000000"/>
          <w:sz w:val="22"/>
          <w:u w:val="single"/>
        </w:rPr>
        <w:t>Regular Purchase</w:t>
      </w:r>
      <w:r>
        <w:rPr>
          <w:color w:val="000000"/>
        </w:rPr>
        <w:t>”</w:t>
      </w:r>
      <w:r>
        <w:rPr>
          <w:rFonts w:ascii="Times New Roman" w:hAnsi="Times New Roman"/>
          <w:color w:val="000000"/>
          <w:sz w:val="22"/>
        </w:rPr>
        <w:t>) at a per share purchase price equal to ninety-seven percent (97%) of the lesser of: (i) the lowest Sale Price of the Common Stock on the applicable Regular Purchase Date and (ii) the arithmetic average of the three (3) lowest Closing Sale Prices for the Common Stock during the ten (10) consecutive Business Days ending on the Business Day immediately preceding such Regular Purchase Date (the “</w:t>
      </w:r>
      <w:r>
        <w:rPr>
          <w:rFonts w:ascii="Times New Roman" w:hAnsi="Times New Roman"/>
          <w:color w:val="000000"/>
          <w:sz w:val="22"/>
          <w:u w:val="single"/>
        </w:rPr>
        <w:t>Purchase Price</w:t>
      </w:r>
      <w:r>
        <w:rPr>
          <w:color w:val="000000"/>
        </w:rPr>
        <w:t>”</w:t>
      </w:r>
      <w:r>
        <w:rPr>
          <w:rFonts w:ascii="Times New Roman" w:hAnsi="Times New Roman"/>
          <w:color w:val="000000"/>
          <w:sz w:val="22"/>
        </w:rPr>
        <w:t xml:space="preserve">) (such share and dollar amounts shall be appropriately proportionately adjusted for any reorganization, recapitalization, non-cash dividend,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stock split, reverse stock split or other similar transaction); provided that if, after giving effect to the full proportionate adjustment to the Regular Purchase Share Limit therefor, the Fully Adjusted Regular Purchase Share Limit then in effect would preclude the Company from delivering to the Investor a Regular Purchase Notice hereunder for a Purchase Amount (calculated by multiplying (X) the number of Purchase Shares equal to the Fully Adjusted Regular Purchase Share Limit, by (Y) the Purchase Price per Purchase Share covered by such Regular Purchase Notice on the applicable Regular Purchase Date therefor) equal to or greater than the Alternate Adjusted Regular Purchase Share Limit, the Regular Purchase Share Limit for such Regular Purchase Notice shall not be fully adjusted to equal the applicable Fully Adjusted Regular Purchase Share Limit, but rather the Regular Purchase Share Limit for such Regular Purchase Notice shall be adjusted to equal the applicable Alternate Adjusted Regular Purchase Share Limit as of the applicable Regular Purchase Date for such Regular Purchase Notice. The Company may deliver a Purchase Notice to the Investor for a Regular Purchase as often as each Business Day subject to the second sentence of </w:t>
      </w:r>
      <w:r>
        <w:rPr>
          <w:rFonts w:ascii="Times New Roman" w:hAnsi="Times New Roman"/>
          <w:color w:val="000000"/>
          <w:sz w:val="22"/>
          <w:u w:val="single"/>
        </w:rPr>
        <w:t>Section 2(g)</w:t>
      </w:r>
      <w:r>
        <w:rPr>
          <w:color w:val="000000"/>
        </w:rPr>
        <w:t xml:space="preserve"> </w:t>
      </w:r>
      <w:r>
        <w:rPr>
          <w:rFonts w:ascii="Times New Roman" w:hAnsi="Times New Roman"/>
          <w:color w:val="000000"/>
          <w:sz w:val="22"/>
        </w:rPr>
        <w:t xml:space="preserve">hereof. For purposes of this </w:t>
      </w:r>
      <w:r>
        <w:rPr>
          <w:rFonts w:ascii="Times New Roman" w:hAnsi="Times New Roman"/>
          <w:color w:val="000000"/>
          <w:sz w:val="22"/>
          <w:u w:val="single"/>
        </w:rPr>
        <w:t>Section 2(a)</w:t>
      </w:r>
      <w:r>
        <w:rPr>
          <w:rFonts w:ascii="Times New Roman" w:hAnsi="Times New Roman"/>
          <w:color w:val="000000"/>
          <w:sz w:val="22"/>
        </w:rPr>
        <w:t>, a Purchase Notice delivered on a day that is not a Business Day shall be deemed to have been delivered on the most recent Business Day prior to delivery of such Purchase Notice.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Accelerated Purchases</w:t>
      </w:r>
      <w:r>
        <w:rPr>
          <w:rFonts w:ascii="Times New Roman" w:hAnsi="Times New Roman"/>
          <w:color w:val="000000"/>
          <w:sz w:val="22"/>
        </w:rPr>
        <w:t>. On any Regular Purchase Date, provided that the Company properly submitted a Purchase Notice for a Regular Purchase for a number of Purchase Shares not less than the Regular Purchase Share Limit then in effect on such Regular Purchase Date and subject to the terms and conditions of this Agreement, the Company shall also have the right, but not the obligation, to require the Investor, by its delivery to the Investor of a Purchase Notice from time to time in accordance with this Agreement, to purchase the applicable Accelerated Purchase Share Amount (each such purchase, an “</w:t>
      </w:r>
      <w:r>
        <w:rPr>
          <w:rFonts w:ascii="Times New Roman" w:hAnsi="Times New Roman"/>
          <w:color w:val="000000"/>
          <w:sz w:val="22"/>
          <w:u w:val="single"/>
        </w:rPr>
        <w:t>Accelerated Purchase</w:t>
      </w:r>
      <w:r>
        <w:rPr>
          <w:color w:val="000000"/>
        </w:rPr>
        <w:t>”</w:t>
      </w:r>
      <w:r>
        <w:rPr>
          <w:rFonts w:ascii="Times New Roman" w:hAnsi="Times New Roman"/>
          <w:color w:val="000000"/>
          <w:sz w:val="22"/>
        </w:rPr>
        <w:t>) at a per share purchase price equal to ninety-seven percent (97%) of the lesser of (i) the Closing Sale Price of the Common Stock on such applicable Accelerated Purchase Date and (ii) the VWAP for the Accelerated Purchase Period (the “</w:t>
      </w:r>
      <w:r>
        <w:rPr>
          <w:rFonts w:ascii="Times New Roman" w:hAnsi="Times New Roman"/>
          <w:color w:val="000000"/>
          <w:sz w:val="22"/>
          <w:u w:val="single"/>
        </w:rPr>
        <w:t>Accelerated Purchase Price</w:t>
      </w:r>
      <w:r>
        <w:rPr>
          <w:color w:val="000000"/>
        </w:rPr>
        <w:t>”</w:t>
      </w:r>
      <w:r>
        <w:rPr>
          <w:rFonts w:ascii="Times New Roman" w:hAnsi="Times New Roman"/>
          <w:color w:val="000000"/>
          <w:sz w:val="22"/>
        </w:rPr>
        <w:t xml:space="preserve">). The Company may deliver Purchase Notices to the Investor for multiple Accelerated Purchases on an Accelerated Purchase Date subject to the second sentence of </w:t>
      </w:r>
      <w:r>
        <w:rPr>
          <w:rFonts w:ascii="Times New Roman" w:hAnsi="Times New Roman"/>
          <w:color w:val="000000"/>
          <w:sz w:val="22"/>
          <w:u w:val="single"/>
        </w:rPr>
        <w:t>Section 2(g)</w:t>
      </w:r>
      <w:r>
        <w:rPr>
          <w:rFonts w:ascii="Times New Roman" w:hAnsi="Times New Roman"/>
          <w:color w:val="000000"/>
          <w:sz w:val="22"/>
        </w:rPr>
        <w:t>. Within one (1) Business Day after completion of each Accelerated Purchase Date for an Accelerated Purchase, the Investor will provide to the Company a written confirmation of such Accelerated Purchase setting forth the applicable Accelerated Purchase Share Amount and Accelerated Purchase Price for such Accelerated Purchase.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Additional Accelerated Purchases</w:t>
      </w:r>
      <w:r>
        <w:rPr>
          <w:rFonts w:ascii="Times New Roman" w:hAnsi="Times New Roman"/>
          <w:color w:val="000000"/>
          <w:sz w:val="22"/>
        </w:rPr>
        <w:t>. On any Accelerated Purchase Date, provided that the Company properly submitted a Purchase Notice for an Accelerated Purchase and subject to the terms and conditions of this Agreement, the Company shall also have the right, but not the obligation, to require the Investor, by its delivery to the Investor of a Purchase Notice from time to time in accordance with this Agreement, to purchase the applicable Accelerated Purchase Share Amount (each such purchase, an “</w:t>
      </w:r>
      <w:r>
        <w:rPr>
          <w:rFonts w:ascii="Times New Roman" w:hAnsi="Times New Roman"/>
          <w:color w:val="000000"/>
          <w:sz w:val="22"/>
          <w:u w:val="single"/>
        </w:rPr>
        <w:t>Additional Accelerated Purchase</w:t>
      </w:r>
      <w:r>
        <w:rPr>
          <w:color w:val="000000"/>
        </w:rPr>
        <w:t>”</w:t>
      </w:r>
      <w:r>
        <w:rPr>
          <w:rFonts w:ascii="Times New Roman" w:hAnsi="Times New Roman"/>
          <w:color w:val="000000"/>
          <w:sz w:val="22"/>
        </w:rPr>
        <w:t xml:space="preserve">) at the Accelerated Purchase Price. The Company may deliver Purchase Notices to the Investor for multiple Additional Accelerated Purchases on an Accelerated Purchase Date subject to the second sentence of </w:t>
      </w:r>
      <w:r>
        <w:rPr>
          <w:rFonts w:ascii="Times New Roman" w:hAnsi="Times New Roman"/>
          <w:color w:val="000000"/>
          <w:sz w:val="22"/>
          <w:u w:val="single"/>
        </w:rPr>
        <w:t>Section 2(g)</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Payment for Purchase Shares.</w:t>
      </w:r>
      <w:r>
        <w:rPr>
          <w:color w:val="000000"/>
        </w:rPr>
        <w:t xml:space="preserve"> </w:t>
      </w:r>
      <w:r>
        <w:rPr>
          <w:rFonts w:ascii="Times New Roman" w:hAnsi="Times New Roman"/>
          <w:color w:val="000000"/>
          <w:sz w:val="22"/>
        </w:rPr>
        <w:t xml:space="preserve">For each Regular Purchase, the Investor shall pay to the Company an amount equal to the Purchase Amount with respect to such Regular Purchase as full payment for such Purchase Shares via wire transfer of immediately available funds on the same Business Day that the Investor receives such Purchase Shares, if such Purchase Shares are received by the Investor before 1:00 p.m., Eastern time, or, if such Purchase Shares are received by the Investor after 1:00 p.m., Eastern time, the next Business Day. Within one (1) Business Day after completion of each Accelerated Purchase Date for an Accelerated Purchase or Additional Accelerated Purchase, respectively, the Investor will provide to the Company a written confirmation of such Accelerated Purchase setting forth the applicable Accelerated Purchase Share Amount and Accelerated Purchase Price for such Purchase. For each Accelerated Purchase and each Additional Accelerated Purchase, the Investor shall pay to the Company an amount equal to the Purchase Amount with respect to such Purchase as full payment for such Purchase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Shares via wire transfer of immediately available funds no later than the second Business Day following the date that the Investor receives the Purchase Shares for such Purchase. If the Company or the Transfer Agent shall fail for any reason or for no reason to electronically transfer any Purchase Shares as DWAC Shares with respect to any Purchase within two (2) Business Days following the receipt by the Company of the Purchase Price or Accelerated Purchase Price, as applicable, for any Purchase therefor in compliance with this </w:t>
      </w:r>
      <w:r>
        <w:rPr>
          <w:rFonts w:ascii="Times New Roman" w:hAnsi="Times New Roman"/>
          <w:color w:val="000000"/>
          <w:sz w:val="22"/>
          <w:u w:val="single"/>
        </w:rPr>
        <w:t>Section 2(d)</w:t>
      </w:r>
      <w:r>
        <w:rPr>
          <w:rFonts w:ascii="Times New Roman" w:hAnsi="Times New Roman"/>
          <w:color w:val="000000"/>
          <w:sz w:val="22"/>
        </w:rPr>
        <w:t>, and if on or after such Business Day the Investor purchases (in an open market transaction or otherwise) shares of Common Stock to deliver in satisfaction of a sale by the Investor of Purchase Shares in anticipation of receiving Purchase Shares from the Company with respect to such Purchase, then the Company shall, within three (3) Business Days after the Investor’s request, either (i) pay cash to the Investor in an amount equal to the Investor’s total purchase price (including customary brokerage commissions, if any) for the shares of Common Stock so purchased (the “</w:t>
      </w:r>
      <w:r>
        <w:rPr>
          <w:rFonts w:ascii="Times New Roman" w:hAnsi="Times New Roman"/>
          <w:color w:val="000000"/>
          <w:sz w:val="22"/>
          <w:u w:val="single"/>
        </w:rPr>
        <w:t>Cover Price</w:t>
      </w:r>
      <w:r>
        <w:rPr>
          <w:color w:val="000000"/>
        </w:rPr>
        <w:t>”</w:t>
      </w:r>
      <w:r>
        <w:rPr>
          <w:rFonts w:ascii="Times New Roman" w:hAnsi="Times New Roman"/>
          <w:color w:val="000000"/>
          <w:sz w:val="22"/>
        </w:rPr>
        <w:t>), at which point the Company’s obligation to deliver such Purchase Shares as DWAC Shares shall terminate, or (ii) promptly honor its obligation to deliver to the Investor such Purchase Shares as DWAC Shares and pay cash to the Investor in an amount equal to the excess (if any) of the Cover Price over the total Purchase Amount paid by the Investor pursuant to this Agreement for all of the Purchase Shares to be purchased by the Investor in connection with such purchases.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Compliance with Rules of the Principal Market</w:t>
      </w:r>
      <w:r>
        <w:rPr>
          <w:rFonts w:ascii="Times New Roman" w:hAnsi="Times New Roman"/>
          <w:color w:val="000000"/>
          <w:sz w:val="22"/>
        </w:rPr>
        <w:t xml:space="preserve">.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w:t>
      </w:r>
    </w:p>
    <w:p>
      <w:pPr>
        <w:pStyle w:val="TextBody"/>
        <w:bidi w:val="0"/>
        <w:jc w:val="both"/>
        <w:rPr/>
      </w:pPr>
      <w:r>
        <w:rPr>
          <w:rFonts w:ascii="Times New Roman" w:hAnsi="Times New Roman"/>
          <w:color w:val="000000"/>
          <w:sz w:val="22"/>
          <w:u w:val="single"/>
        </w:rPr>
        <w:t>Exchange Cap</w:t>
      </w:r>
      <w:r>
        <w:rPr>
          <w:rFonts w:ascii="Times New Roman" w:hAnsi="Times New Roman"/>
          <w:color w:val="000000"/>
          <w:sz w:val="22"/>
        </w:rPr>
        <w:t xml:space="preserve">. Notwithstanding anything in this Agreement to the contrary, and in addition to the limitations set forth in </w:t>
      </w:r>
      <w:r>
        <w:rPr>
          <w:rFonts w:ascii="Times New Roman" w:hAnsi="Times New Roman"/>
          <w:color w:val="000000"/>
          <w:sz w:val="22"/>
          <w:u w:val="single"/>
        </w:rPr>
        <w:t>Section 2(f)</w:t>
      </w:r>
      <w:r>
        <w:rPr>
          <w:color w:val="000000"/>
        </w:rPr>
        <w:t xml:space="preserve"> </w:t>
      </w:r>
      <w:r>
        <w:rPr>
          <w:rFonts w:ascii="Times New Roman" w:hAnsi="Times New Roman"/>
          <w:color w:val="000000"/>
          <w:sz w:val="22"/>
        </w:rPr>
        <w:t xml:space="preserve">hereof, the Company shall not issue more than </w:t>
      </w:r>
      <w:r>
        <w:rPr>
          <w:color w:val="000000"/>
        </w:rPr>
        <w:t>‭</w:t>
      </w:r>
      <w:r>
        <w:rPr>
          <w:rFonts w:ascii="Times New Roman" w:hAnsi="Times New Roman"/>
          <w:color w:val="000000"/>
          <w:sz w:val="22"/>
        </w:rPr>
        <w:t>3,290,604</w:t>
      </w:r>
      <w:r>
        <w:rPr>
          <w:color w:val="000000"/>
        </w:rPr>
        <w:t xml:space="preserve">‬ </w:t>
      </w:r>
      <w:r>
        <w:rPr>
          <w:rFonts w:ascii="Times New Roman" w:hAnsi="Times New Roman"/>
          <w:color w:val="000000"/>
          <w:sz w:val="22"/>
        </w:rPr>
        <w:t>shares (including the Commitment Shares) of Common Stock under this Agreement, which equals 19.99% of the Company’s outstanding shares of Common Stock as of the date hereof (the “</w:t>
      </w:r>
      <w:r>
        <w:rPr>
          <w:rFonts w:ascii="Times New Roman" w:hAnsi="Times New Roman"/>
          <w:color w:val="000000"/>
          <w:sz w:val="22"/>
          <w:u w:val="single"/>
        </w:rPr>
        <w:t>Exchange Cap</w:t>
      </w:r>
      <w:r>
        <w:rPr>
          <w:color w:val="000000"/>
        </w:rPr>
        <w:t>”</w:t>
      </w:r>
      <w:r>
        <w:rPr>
          <w:rFonts w:ascii="Times New Roman" w:hAnsi="Times New Roman"/>
          <w:color w:val="000000"/>
          <w:sz w:val="22"/>
        </w:rPr>
        <w:t>), unless stockholder approval is obtained to issue shares of Common Stock in excess of the Exchange Cap and otherwise in accordance with the applicable rules of the Principal Market. Notwithstanding the foregoing, the Company shall not be required or permitted to issue, and the Investor shall not be required to purchase, any shares of Common Stock under this Agreement if such issuance would violate the rules or regulations of the Principal Market. The Company may, in its sole discretion, determine whether to obtain stockholder approval to issue and sell shares in excess of the Exchange Cap at a price less than the Minimum Price if such issuance would require stockholder approval under the rules or regulations of the Principal Market. The Exchange Cap shall be reduced, on a share-for-share basis, by the number of shares of Common Stock issued or issuable that may be aggregated with the transactions contemplated by this Agreement under applicable rules of the Principal Market.</w:t>
      </w:r>
      <w:r>
        <w:rPr>
          <w:color w:val="000000"/>
        </w:rPr>
        <w: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jc w:val="both"/>
        <w:rPr/>
      </w:pPr>
      <w:r>
        <w:rPr>
          <w:rFonts w:ascii="Times New Roman" w:hAnsi="Times New Roman"/>
          <w:color w:val="000000"/>
          <w:sz w:val="22"/>
          <w:u w:val="single"/>
        </w:rPr>
        <w:t>At-Market Transaction</w:t>
      </w:r>
      <w:r>
        <w:rPr>
          <w:rFonts w:ascii="Times New Roman" w:hAnsi="Times New Roman"/>
          <w:color w:val="000000"/>
          <w:sz w:val="22"/>
        </w:rPr>
        <w:t xml:space="preserve">. Notwithstanding </w:t>
      </w:r>
      <w:r>
        <w:rPr>
          <w:rFonts w:ascii="Times New Roman" w:hAnsi="Times New Roman"/>
          <w:color w:val="000000"/>
          <w:sz w:val="22"/>
          <w:u w:val="single"/>
        </w:rPr>
        <w:t>Section 2(e)(i)</w:t>
      </w:r>
      <w:r>
        <w:rPr>
          <w:color w:val="000000"/>
        </w:rPr>
        <w:t xml:space="preserve"> </w:t>
      </w:r>
      <w:r>
        <w:rPr>
          <w:rFonts w:ascii="Times New Roman" w:hAnsi="Times New Roman"/>
          <w:color w:val="000000"/>
          <w:sz w:val="22"/>
        </w:rPr>
        <w:t xml:space="preserve">above, the Exchange Cap shall not be applicable for any purposes of this Agreement and the transactions contemplated hereby, solely to the extent that (and only for so long as) the Average Price shall equal or exceed the Base Price (it being hereby acknowledged and agreed that the Exchange Cap shall be applicable for all purposes of this Agreement and the transactions contemplated hereby at all other times during the term of this Agreement, unless the stockholder approval referred to in </w:t>
      </w:r>
      <w:r>
        <w:rPr>
          <w:rFonts w:ascii="Times New Roman" w:hAnsi="Times New Roman"/>
          <w:color w:val="000000"/>
          <w:sz w:val="22"/>
          <w:u w:val="single"/>
        </w:rPr>
        <w:t>Section 2(e)(i)</w:t>
      </w:r>
      <w:r>
        <w:rPr>
          <w:color w:val="000000"/>
        </w:rPr>
        <w:t xml:space="preserve"> </w:t>
      </w:r>
      <w:r>
        <w:rPr>
          <w:rFonts w:ascii="Times New Roman" w:hAnsi="Times New Roman"/>
          <w:color w:val="000000"/>
          <w:sz w:val="22"/>
        </w:rPr>
        <w:t>is obtained). The parties acknowledge and agree that the Signing Market Price used to determine the Base Price hereunder represents the lower of (i) the official closing price of the Common Stock on The Nasdaq Capital Market (as reflected on Nasdaq.com) on the trading day immediately preceding the date of this Agreement and (ii) the average official closing price of the Common Stock on The Nasdaq Capital Market (as reflected on Nasdaq.com) for the five (5) consecutive trading days ending on the trading day immediately preceding the date of this Agreement.</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Beneficial Ownership Limitation.</w:t>
      </w:r>
      <w:r>
        <w:rPr>
          <w:color w:val="000000"/>
        </w:rPr>
        <w:t xml:space="preserve"> </w:t>
      </w:r>
      <w:r>
        <w:rPr>
          <w:rFonts w:ascii="Times New Roman" w:hAnsi="Times New Roman"/>
          <w:color w:val="000000"/>
          <w:sz w:val="22"/>
        </w:rPr>
        <w:t>Notwithstanding anything to the contrary contained in this Agreement, the Company shall not issue or sell, and the Investor shall not purchase or acquire, any shares of Common Stock under this Agreement which, when aggregated with all other shares of Common Stock then beneficially owned by the Investor and its affiliates (as calculated pursuant to Section 13(d) of the Exchange Act and Rule 13d-3 promulgated thereunder), would result in the beneficial ownership by the Investor and its affiliates of more than 4.99% of the then issued and outstanding shares of Common Stock (the “</w:t>
      </w:r>
      <w:r>
        <w:rPr>
          <w:rFonts w:ascii="Times New Roman" w:hAnsi="Times New Roman"/>
          <w:color w:val="000000"/>
          <w:sz w:val="22"/>
          <w:u w:val="single"/>
        </w:rPr>
        <w:t>Beneficial Ownership Limitation</w:t>
      </w:r>
      <w:r>
        <w:rPr>
          <w:color w:val="000000"/>
        </w:rPr>
        <w:t>”</w:t>
      </w:r>
      <w:r>
        <w:rPr>
          <w:rFonts w:ascii="Times New Roman" w:hAnsi="Times New Roman"/>
          <w:color w:val="000000"/>
          <w:sz w:val="22"/>
        </w:rPr>
        <w:t xml:space="preserve">). Upon the written or oral request of the Investor, the Company shall promptly (but not later than one (1) Business Day) confirm orally or in writing to the Investor the number of shares of Common Stock then outstanding. The Investor, upon written notice to the Company, may increase the Beneficial Ownership Limitation provisions of this </w:t>
      </w:r>
      <w:r>
        <w:rPr>
          <w:rFonts w:ascii="Times New Roman" w:hAnsi="Times New Roman"/>
          <w:color w:val="000000"/>
          <w:sz w:val="22"/>
          <w:u w:val="single"/>
        </w:rPr>
        <w:t>Section 2(f)</w:t>
      </w:r>
      <w:r>
        <w:rPr>
          <w:rFonts w:ascii="Times New Roman" w:hAnsi="Times New Roman"/>
          <w:color w:val="000000"/>
          <w:sz w:val="22"/>
        </w:rPr>
        <w:t xml:space="preserve">, provided that the Beneficial Ownership Limitation in no event exceeds 9.99% of the number of shares of Common Stock outstanding immediately after giving effect to the issuance of shares of Common Stock pursuant to this Agreement and the provisions of this </w:t>
      </w:r>
      <w:r>
        <w:rPr>
          <w:rFonts w:ascii="Times New Roman" w:hAnsi="Times New Roman"/>
          <w:color w:val="000000"/>
          <w:sz w:val="22"/>
          <w:u w:val="single"/>
        </w:rPr>
        <w:t>Section 2(f)</w:t>
      </w:r>
      <w:r>
        <w:rPr>
          <w:color w:val="000000"/>
        </w:rPr>
        <w:t xml:space="preserve"> </w:t>
      </w:r>
      <w:r>
        <w:rPr>
          <w:rFonts w:ascii="Times New Roman" w:hAnsi="Times New Roman"/>
          <w:color w:val="000000"/>
          <w:sz w:val="22"/>
        </w:rPr>
        <w:t xml:space="preserve">shall continue to apply. Any increase in the Beneficial Ownership Limitation will not be effective until the sixty-first (61st) day after such written notice is delivered to the Company. The provisions of this paragraph shall be construed and implemented in a manner otherwise than in strict conformity with the terms of this </w:t>
      </w:r>
      <w:r>
        <w:rPr>
          <w:rFonts w:ascii="Times New Roman" w:hAnsi="Times New Roman"/>
          <w:color w:val="000000"/>
          <w:sz w:val="22"/>
          <w:u w:val="single"/>
        </w:rPr>
        <w:t>Section 2(f)</w:t>
      </w:r>
      <w:r>
        <w:rPr>
          <w:color w:val="000000"/>
        </w:rPr>
        <w:t xml:space="preserve"> </w:t>
      </w:r>
      <w:r>
        <w:rPr>
          <w:rFonts w:ascii="Times New Roman" w:hAnsi="Times New Roman"/>
          <w:color w:val="000000"/>
          <w:sz w:val="22"/>
        </w:rPr>
        <w:t>to correct this paragraph (or any portion hereof) which may be defective or inconsistent with the intended Beneficial Ownership Limitation herein contained or to make changes or supplements necessary or desirable to properly give effect to such limitation. The Investor and the Company shall each cooperate in good faith in the determinations required hereby and the application hereof. The Investor’s written certification to the Company of the applicability of the Beneficial Ownership Limitation, and the resulting effect thereof hereunder at any time, shall be conclusive with respect to the applicability thereof and such result absent manifest error.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Excess Share Limitations.</w:t>
      </w:r>
      <w:r>
        <w:rPr>
          <w:color w:val="000000"/>
        </w:rPr>
        <w:t xml:space="preserve"> </w:t>
      </w:r>
      <w:r>
        <w:rPr>
          <w:rFonts w:ascii="Times New Roman" w:hAnsi="Times New Roman"/>
          <w:color w:val="000000"/>
          <w:sz w:val="22"/>
        </w:rPr>
        <w:t xml:space="preserve">If the Company delivers any Purchase Notice for a Purchase Amount in excess of the limitations contained in this </w:t>
      </w:r>
      <w:r>
        <w:rPr>
          <w:rFonts w:ascii="Times New Roman" w:hAnsi="Times New Roman"/>
          <w:color w:val="000000"/>
          <w:sz w:val="22"/>
          <w:u w:val="single"/>
        </w:rPr>
        <w:t>Section 2</w:t>
      </w:r>
      <w:r>
        <w:rPr>
          <w:rFonts w:ascii="Times New Roman" w:hAnsi="Times New Roman"/>
          <w:color w:val="000000"/>
          <w:sz w:val="22"/>
        </w:rPr>
        <w:t xml:space="preserve">, such Purchase Notice shall be void </w:t>
      </w:r>
      <w:r>
        <w:rPr>
          <w:rFonts w:ascii="Times New Roman" w:hAnsi="Times New Roman"/>
          <w:i/>
          <w:color w:val="000000"/>
          <w:sz w:val="22"/>
        </w:rPr>
        <w:t>ab initio</w:t>
      </w:r>
      <w:r>
        <w:rPr>
          <w:color w:val="000000"/>
        </w:rPr>
        <w:t xml:space="preserve"> </w:t>
      </w:r>
      <w:r>
        <w:rPr>
          <w:rFonts w:ascii="Times New Roman" w:hAnsi="Times New Roman"/>
          <w:color w:val="000000"/>
          <w:sz w:val="22"/>
        </w:rPr>
        <w:t xml:space="preserve">to the extent of the amount by which the number of Purchase Shares set forth in such Purchase Notice exceeds the number of Purchase Shares which the Company is permitted to include in such Purchase Notice in accordance herewith, and the Investor shall have no obligation to purchase such excess Purchase Shares in respect of such Purchase Notice;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Investor shall remain obligated to purchase the number of Purchase Shares which the Company is permitted to include in such Purchase Notice. If the Company delivers a Purchase Notice, and all Purchase Shares subject to all prior Purchases have not theretofore been received by the Investor as DWAC Shares in accordance with this Agreement, such Purchase Notice shall not be deemed to have been delivered and the Investor shall not be required to purchase any Purchase Shares pursuant to such Purchase Notice until all Purchase Shares for such prior Purchases have been received by the Investor as DWAC Shares. If any issuance of Purchase Shares would result in the issuance of a fraction of a share of Common Stock, the Company shall round down such fraction of a share of Common Stock to the nearest whole share and no fractional shares will be issued.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Adjustments for Shares and Prices</w:t>
      </w:r>
      <w:r>
        <w:rPr>
          <w:rFonts w:ascii="Times New Roman" w:hAnsi="Times New Roman"/>
          <w:color w:val="000000"/>
          <w:sz w:val="22"/>
        </w:rPr>
        <w:t xml:space="preserve">. Except as specifically stated otherwise, all share-related and dollar-related limitations contained in this </w:t>
      </w:r>
      <w:r>
        <w:rPr>
          <w:rFonts w:ascii="Times New Roman" w:hAnsi="Times New Roman"/>
          <w:color w:val="000000"/>
          <w:sz w:val="22"/>
          <w:u w:val="single"/>
        </w:rPr>
        <w:t>Section 2</w:t>
      </w:r>
      <w:r>
        <w:rPr>
          <w:rFonts w:ascii="Times New Roman" w:hAnsi="Times New Roman"/>
          <w:color w:val="000000"/>
          <w:sz w:val="22"/>
        </w:rPr>
        <w:t>, shall be adjusted to take into account any reorganization, recapitalization, non-cash dividend, stock split, reverse stock split, or other similar transaction effected with respect to the Common Stock.</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3.</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INVESTOR’S REPRESENTATIONS AND WARRANTIES.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rFonts w:ascii="Times New Roman" w:hAnsi="Times New Roman"/>
          <w:sz w:val="20"/>
        </w:rPr>
      </w:pPr>
      <w:r>
        <w:rPr>
          <w:rFonts w:ascii="Times New Roman" w:hAnsi="Times New Roman"/>
          <w:color w:val="000000"/>
          <w:sz w:val="22"/>
        </w:rPr>
        <w:t>The Investor represents and warrants to the Company that as of the date hereof and as of the Commencement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Organization, Authority</w:t>
      </w:r>
      <w:r>
        <w:rPr>
          <w:rFonts w:ascii="Times New Roman" w:hAnsi="Times New Roman"/>
          <w:color w:val="000000"/>
          <w:sz w:val="22"/>
        </w:rPr>
        <w:t xml:space="preserve">. The Investor is an entity duly organized, validly existing and in good standing under the laws of the jurisdiction of its organization, with the requisite power and authority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enter into and to consummate the transactions contemplated by this Agreement and the other Transaction Documents to which it is a party and otherwise to carry out its obligations hereunder and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Accredited Investor Status</w:t>
      </w:r>
      <w:r>
        <w:rPr>
          <w:rFonts w:ascii="Times New Roman" w:hAnsi="Times New Roman"/>
          <w:color w:val="000000"/>
          <w:sz w:val="22"/>
        </w:rPr>
        <w:t>. The Investor is an “accredited investor” as that term is defined in Rule 501(a)(3) of Regulation D ‎(without regard to Rule 501(a)(4))‎ promulgated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Reliance on Exemptions</w:t>
      </w:r>
      <w:r>
        <w:rPr>
          <w:rFonts w:ascii="Times New Roman" w:hAnsi="Times New Roman"/>
          <w:color w:val="000000"/>
          <w:sz w:val="22"/>
        </w:rPr>
        <w:t>. The Investor understands that the Securities may be offered and sold to it in reliance on specific exemptions from the registration requirements of United States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Investment Purpose</w:t>
      </w:r>
      <w:r>
        <w:rPr>
          <w:rFonts w:ascii="Times New Roman" w:hAnsi="Times New Roman"/>
          <w:color w:val="000000"/>
          <w:sz w:val="22"/>
        </w:rPr>
        <w:t>. The Investor is acquiring the Securities as principal for its own account for investment only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Investor’s right to sell the Securities at any time pursuant to the Registration Statement described herein or otherwise in compliance with applicable federal and state securities laws). The Investor is acquiring the Securities hereunder in the ordinary course of its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Information; Independent Investigation</w:t>
      </w:r>
      <w:r>
        <w:rPr>
          <w:rFonts w:ascii="Times New Roman" w:hAnsi="Times New Roman"/>
          <w:color w:val="000000"/>
          <w:sz w:val="22"/>
        </w:rPr>
        <w:t xml:space="preserve">. The Investor understands that its investment in the Securities involves a high degree of risk. The Investor (i) is able to bear the economic risk of an investment in the Securities including a total loss thereof, (ii) has such knowledge and experience in financial and business matters that it is capable of evaluating the merits and risks of the proposed investment in the Securities and (iii) has conducted its own independent investigation, review and analysis of the business, results of ‎operations, prospects, condition (financial or otherwise) or assets of the Company. Neither such inquiries nor any other due diligence investigations conducted by the Investor or its representatives shall modify, amend or affect the Investor’s right to rely on the Company’s representations and warranties contained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below. The Investor has sought such accounting, legal and tax advice as it has considered necessary to make an informed investment decision with respect to its acquisition of the Securities and is not relying on any accounting, legal, tax or other advice from the Company or its officers, employees, representatives or advisors. The Investor has relied solely upon its own investigation and acknowledges and agrees that the Company neither makes nor has made any representations or warranties with respect to the transactions contemplated hereby other than those expressly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No Governmental Review</w:t>
      </w:r>
      <w:r>
        <w:rPr>
          <w:rFonts w:ascii="Times New Roman" w:hAnsi="Times New Roman"/>
          <w:color w:val="000000"/>
          <w:sz w:val="22"/>
        </w:rPr>
        <w:t>. The Investor understands that no U.S. federal or state agency or any other government or governmental agency has passed on or made any recommendation or endorsement of the Securities or the fairness or suitability of an investment in the Securities nor have such authorities passed upon or endorsed the merits of the offering of the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Transfer or Sale</w:t>
      </w:r>
      <w:r>
        <w:rPr>
          <w:rFonts w:ascii="Times New Roman" w:hAnsi="Times New Roman"/>
          <w:color w:val="000000"/>
          <w:sz w:val="22"/>
        </w:rPr>
        <w:t>. ‎The Investor understands that (i) the Securities may not be offered for sale, sold, assigned, pledged, hypothecated or otherwise transferred unless (A) registered pursuant to the Securities Act or (B) an exemption exists permitting such Securities to be sold, assigned or transferred without such registration; and (ii) any sale of the Securities made in reliance on Rule 144 promulgated under the Securities Act (“</w:t>
      </w:r>
      <w:r>
        <w:rPr>
          <w:rFonts w:ascii="Times New Roman" w:hAnsi="Times New Roman"/>
          <w:color w:val="000000"/>
          <w:sz w:val="22"/>
          <w:u w:val="single"/>
        </w:rPr>
        <w:t>Rule 144</w:t>
      </w:r>
      <w:r>
        <w:rPr>
          <w:color w:val="000000"/>
        </w:rPr>
        <w:t>”</w:t>
      </w:r>
      <w:r>
        <w:rPr>
          <w:rFonts w:ascii="Times New Roman" w:hAnsi="Times New Roman"/>
          <w:color w:val="000000"/>
          <w:sz w:val="22"/>
        </w:rPr>
        <w:t xml:space="preserve">) may be made only in accordance with the terms of Rule 144 and further, if Rule 144 is not applicable, any resale of the Securities under circumstances in which the seller (or the Person through whom the sale is made) may be deemed to be an underwriter (as such term is defined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Securities Act) may require compliance with some other exemption under the Securities Act or the rules and regulations of the SEC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Validity; Enforcement</w:t>
      </w:r>
      <w:r>
        <w:rPr>
          <w:rFonts w:ascii="Times New Roman" w:hAnsi="Times New Roman"/>
          <w:color w:val="000000"/>
          <w:sz w:val="22"/>
        </w:rPr>
        <w:t xml:space="preserve">. This Agreement and the other Transaction Documents have been duly and validly authorized, executed and delivered on behalf of the Investor and each is a valid and binding agreement of the Investor enforceable against the Investor in accordance with its terms, subject as to enforceability to general principles of equity and to applicable bankruptcy, insolvency, reorganization, moratorium, liquidation and other similar laws relating to, or affecting generally, the enforcement of applicable creditors’ rights and remedies.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Residency</w:t>
      </w:r>
      <w:r>
        <w:rPr>
          <w:rFonts w:ascii="Times New Roman" w:hAnsi="Times New Roman"/>
          <w:color w:val="000000"/>
          <w:sz w:val="22"/>
        </w:rPr>
        <w:t>. The Investor’s principal place of business is in the State of Illinois.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No Short Selling</w:t>
      </w:r>
      <w:r>
        <w:rPr>
          <w:rFonts w:ascii="Times New Roman" w:hAnsi="Times New Roman"/>
          <w:color w:val="000000"/>
          <w:sz w:val="22"/>
        </w:rPr>
        <w:t>. The Investor represents and warrants to the Company that at no time prior to the date of this Agreement has any of the Investor, its agents, representatives or affiliates engaged in or effected, in any manner whatsoever, directly or indirectly, any (i) “short sale” (as such term is defined in Rule 200 of Regulation SHO of the Exchange Act) of the Common Stock or (ii) hedging transaction, which establishes a net short position with respect to the Common Stock.</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REPRESENTATIONS AND WARRANTIES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represents and warrants to the Investor that, except as set forth in the disclosure schedules attached hereto, which exceptions shall be deemed to be a part of the representations and warranties hereunder, as of the date hereof and as of the Commencement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Organization and Qualification</w:t>
      </w:r>
      <w:r>
        <w:rPr>
          <w:rFonts w:ascii="Times New Roman" w:hAnsi="Times New Roman"/>
          <w:color w:val="000000"/>
          <w:sz w:val="22"/>
        </w:rPr>
        <w:t>. The Company and each of its Subsidiaries is an entity duly incorporated or otherwise organized, validly existing and in good standing under the laws of the jurisdiction of its incorporation or organization, with the requisite corporate power and authority to own and use its properties and assets and to carry on its business as currently conducted. Neither the Company nor any of its Subsidiaries are in violation or default of any of the provisions of its respective certificate or articles of incorporation or formation, bylaws or other organizational or charter documents, except as would not be expected to result in a Material Adverse Effect. Each of the Company and its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reasonably be expected to result in a Material Adverse Effect, and no proceeding has been instituted in any such jurisdiction revoking, limiting or curtailing or seeking to revoke, limit or curtail such power and authority or qualification. The Company has no Subsidiaries required to be disclosed pursuant to Item 601(b)(21) of Regulation S-K except as set forth in the SEC Documents (as defined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Authorization; Enforcement; Validity</w:t>
      </w:r>
      <w:r>
        <w:rPr>
          <w:rFonts w:ascii="Times New Roman" w:hAnsi="Times New Roman"/>
          <w:color w:val="000000"/>
          <w:sz w:val="22"/>
        </w:rPr>
        <w:t>.</w:t>
      </w:r>
      <w:r>
        <w:rPr>
          <w:rFonts w:ascii="Times New Roman" w:hAnsi="Times New Roman"/>
          <w:color w:val="000000"/>
          <w:sz w:val="16"/>
        </w:rPr>
        <w:t>1</w:t>
      </w:r>
      <w:r>
        <w:rPr>
          <w:color w:val="000000"/>
        </w:rPr>
        <w:t xml:space="preserve"> </w:t>
      </w:r>
      <w:r>
        <w:rPr>
          <w:rFonts w:ascii="Times New Roman" w:hAnsi="Times New Roman"/>
          <w:color w:val="000000"/>
          <w:sz w:val="22"/>
        </w:rPr>
        <w:t>The Company has the requisite corporate power and authority to enter into and perform its obligations under this Agreement and each of the other Transaction Documents, and to issue the Securities in accordance with the terms hereof and thereof. The execution and delivery of the Transaction Documents by the Company and the consummation by it of the transactions contemplated hereby and thereby,</w:t>
      </w:r>
      <w:r>
        <w:rPr>
          <w:color w:val="000000"/>
        </w:rPr>
        <w:t xml:space="preserve"> </w:t>
      </w:r>
      <w:r>
        <w:rPr>
          <w:rFonts w:ascii="Times New Roman" w:hAnsi="Times New Roman"/>
          <w:color w:val="000000"/>
          <w:sz w:val="22"/>
        </w:rPr>
        <w:t xml:space="preserve">including without limitation, the issuance of the Commitment Shares (as defined in </w:t>
      </w:r>
      <w:r>
        <w:rPr>
          <w:rFonts w:ascii="Times New Roman" w:hAnsi="Times New Roman"/>
          <w:color w:val="000000"/>
          <w:sz w:val="22"/>
          <w:u w:val="single"/>
        </w:rPr>
        <w:t>Section 5(e)</w:t>
      </w:r>
      <w:r>
        <w:rPr>
          <w:rFonts w:ascii="Times New Roman" w:hAnsi="Times New Roman"/>
          <w:color w:val="000000"/>
          <w:sz w:val="22"/>
        </w:rPr>
        <w:t>) and the reservation for issuance and the issuance of the Purchase Shares issuable under this Agreement have been duly authorized by the Company’s Board of Directors or a validly authorized committee thereof (collectively, the “</w:t>
      </w:r>
      <w:r>
        <w:rPr>
          <w:rFonts w:ascii="Times New Roman" w:hAnsi="Times New Roman"/>
          <w:color w:val="000000"/>
          <w:sz w:val="22"/>
          <w:u w:val="single"/>
        </w:rPr>
        <w:t>Board of Directors</w:t>
      </w:r>
      <w:r>
        <w:rPr>
          <w:color w:val="000000"/>
        </w:rPr>
        <w:t>”</w:t>
      </w:r>
      <w:r>
        <w:rPr>
          <w:rFonts w:ascii="Times New Roman" w:hAnsi="Times New Roman"/>
          <w:color w:val="000000"/>
          <w:sz w:val="22"/>
        </w:rPr>
        <w:t xml:space="preserve">), and no further consent or authorization is required by the Company, its Board of Directors or any committee thereof, or its stockholders (except as set forth in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 xml:space="preserve">hereof). This Agreement has been, and each other </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sz w:val="20"/>
        </w:rPr>
      </w:pP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Note to Draft: To be confirmed.</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Transaction Document shall be on the Commencement Date, duly executed and delivered by the Company, and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general principles of equity or applicable bankruptcy, insolvency, reorganization, moratorium, liquidation or similar laws relating to, or affecting generally, the enforcement of creditors’ rights and remedies. The Board of Directors of the Company has approved all applicable resolutions (the “</w:t>
      </w:r>
      <w:r>
        <w:rPr>
          <w:rFonts w:ascii="Times New Roman" w:hAnsi="Times New Roman"/>
          <w:color w:val="000000"/>
          <w:sz w:val="22"/>
          <w:u w:val="single"/>
        </w:rPr>
        <w:t>Signing Resolutions</w:t>
      </w:r>
      <w:r>
        <w:rPr>
          <w:color w:val="000000"/>
        </w:rPr>
        <w:t>”</w:t>
      </w:r>
      <w:r>
        <w:rPr>
          <w:rFonts w:ascii="Times New Roman" w:hAnsi="Times New Roman"/>
          <w:color w:val="000000"/>
          <w:sz w:val="22"/>
        </w:rPr>
        <w:t>) to authorize the Company to enter into and deliver this Agreement and to perform the transactions contemplated hereby. The Signing Resolutions are valid, in full force and effect and have not been modified or supplemented in any respect. Except as set forth in this Agreement, no other approvals or consents of the Company’s Board of Directors and/or stockholders are necessary under applicable laws and the Company’s Amended and Restated Certificate of Incorporation, as amended and in effect on the date hereof (the “</w:t>
      </w:r>
      <w:r>
        <w:rPr>
          <w:rFonts w:ascii="Times New Roman" w:hAnsi="Times New Roman"/>
          <w:color w:val="000000"/>
          <w:sz w:val="22"/>
          <w:u w:val="single"/>
        </w:rPr>
        <w:t>Certificate of Incorporation</w:t>
      </w:r>
      <w:r>
        <w:rPr>
          <w:color w:val="000000"/>
        </w:rPr>
        <w:t>”</w:t>
      </w:r>
      <w:r>
        <w:rPr>
          <w:rFonts w:ascii="Times New Roman" w:hAnsi="Times New Roman"/>
          <w:color w:val="000000"/>
          <w:sz w:val="22"/>
        </w:rPr>
        <w:t>) and/or the Company’s Amended and Restated Bylaws, as in effect on the date hereof (the “</w:t>
      </w:r>
      <w:r>
        <w:rPr>
          <w:rFonts w:ascii="Times New Roman" w:hAnsi="Times New Roman"/>
          <w:color w:val="000000"/>
          <w:sz w:val="22"/>
          <w:u w:val="single"/>
        </w:rPr>
        <w:t>Bylaws</w:t>
      </w:r>
      <w:r>
        <w:rPr>
          <w:color w:val="000000"/>
        </w:rPr>
        <w:t>”</w:t>
      </w:r>
      <w:r>
        <w:rPr>
          <w:rFonts w:ascii="Times New Roman" w:hAnsi="Times New Roman"/>
          <w:color w:val="000000"/>
          <w:sz w:val="22"/>
        </w:rPr>
        <w:t>), to authorize the execution and delivery by the Company of this Agreement or the performance by the Company of any of the transactions contemplated hereby, including, but not limited to, the issuance of the Commitment Shares and the issuance of the Purchase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Capitalization</w:t>
      </w:r>
      <w:r>
        <w:rPr>
          <w:rFonts w:ascii="Times New Roman" w:hAnsi="Times New Roman"/>
          <w:color w:val="000000"/>
          <w:sz w:val="22"/>
        </w:rPr>
        <w:t>. The authorized capital stock of the Company as of the date hereof is set forth in the SEC Documents. Except as disclosed in the SEC Documents, (i) no shares of the Company’s capital stock are subject to preemptive rights or any other similar rights or any liens, encumbrances and defects (“</w:t>
      </w:r>
      <w:r>
        <w:rPr>
          <w:rFonts w:ascii="Times New Roman" w:hAnsi="Times New Roman"/>
          <w:color w:val="000000"/>
          <w:sz w:val="22"/>
          <w:u w:val="single"/>
        </w:rPr>
        <w:t>Liens</w:t>
      </w:r>
      <w:r>
        <w:rPr>
          <w:color w:val="000000"/>
        </w:rPr>
        <w:t>”</w:t>
      </w:r>
      <w:r>
        <w:rPr>
          <w:rFonts w:ascii="Times New Roman" w:hAnsi="Times New Roman"/>
          <w:color w:val="000000"/>
          <w:sz w:val="22"/>
        </w:rPr>
        <w:t>) suffered, incurred or permitted by the Company, (ii) there are no outstanding debt securities of the Company,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are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(iv) except for the Registration Rights Agreement, there are no agreements or arrangements under which the Company or any of its Subsidiaries are obligated to register the sale of any of their securities under the Securities Act that have not been fulfilled, (v) there are no outstanding securities or instruments of the Company or any of its Subsidiaries which contain any redemption or similar provisions, and there are no contracts, commitments, understandings or arrangements by which the Company or any of its Subsidiaries are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to the Investor true and correct copies of the Certificate of Incorporation, the Bylaws, and summaries of the material terms of all securities convertible into or exercisable for Common Stock outstanding on the date hereof, if any, which are not otherwise disclosed in the Registration Statement, any SEC Document or filed as an exhibit thereto.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Issuance of Securities</w:t>
      </w:r>
      <w:r>
        <w:rPr>
          <w:rFonts w:ascii="Times New Roman" w:hAnsi="Times New Roman"/>
          <w:color w:val="000000"/>
          <w:sz w:val="22"/>
        </w:rPr>
        <w:t xml:space="preserve">. Upon issuance and payment therefor in accordance with the terms and conditions of this Agreement, the Securities shall be validly issued, fully paid and nonassessable and free from all taxes, Liens, charges, restrictions (other than such restrictions on transfer arising under the Securities Act prior to the effective date of the Registration Statement registering the resale thereof by the Investor under the Securities Act), rights of first refusal and preemptive rights with respect to the issue thereof, with the holders being entitled to all rights accorded to a holder of Common Stock. The Company is authorized to issue shares of Common Stock upon the purchase of Purchase Shares up to the Available Amount under this Agreement in accordance with the terms of this Agreement and that, upon issuance of the Purchase Shares pursuant to this Agreement, the Purchase Shares will be duly authorized, validly issued,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fully paid and nonassessable with no personal liability attaching to the ownership thereof. Five Million (5,000,000)</w:t>
      </w:r>
      <w:r>
        <w:rPr>
          <w:color w:val="000000"/>
        </w:rPr>
        <w:t xml:space="preserve"> </w:t>
      </w:r>
      <w:r>
        <w:rPr>
          <w:rFonts w:ascii="Times New Roman" w:hAnsi="Times New Roman"/>
          <w:color w:val="000000"/>
          <w:sz w:val="22"/>
        </w:rPr>
        <w:t xml:space="preserve">shares of Common Stock (subject to adjustment for any reorganization, recapitalization, non-cash dividend, stock split, reverse stock split or other similar transaction) have been or will be reserved for issuance upon purchase under this Agreement as Purchase Shares. Sixty Thousand One Hundred Forty-Five (60,145) shares of Common Stock (subject to equitable adjustment for any reorganization, recapitalization, non-cash dividend, stock split or other similar transaction) have been duly authorized and reserved for issuance as Commitment Shares (as defined below in </w:t>
      </w:r>
      <w:r>
        <w:rPr>
          <w:rFonts w:ascii="Times New Roman" w:hAnsi="Times New Roman"/>
          <w:color w:val="000000"/>
          <w:sz w:val="22"/>
          <w:u w:val="single"/>
        </w:rPr>
        <w:t>Section 5(e)</w:t>
      </w:r>
      <w:r>
        <w:rPr>
          <w:rFonts w:ascii="Times New Roman" w:hAnsi="Times New Roman"/>
          <w:color w:val="000000"/>
          <w:sz w:val="22"/>
        </w:rPr>
        <w:t>) in accordance with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No Conflicts</w:t>
      </w:r>
      <w:r>
        <w:rPr>
          <w:rFonts w:ascii="Times New Roman" w:hAnsi="Times New Roman"/>
          <w:color w:val="000000"/>
          <w:sz w:val="22"/>
        </w:rPr>
        <w:t>. The execution, delivery and performance of the Transaction Documents by the Company and the consummation by the Company of the transactions contemplated hereby and thereby (including, without limitation, the reservation for issuance and issuance of the Securities)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Neither the Company nor any Subsidiary is in violation of any term of or is in default under any material contract, agreement, mortgage, indebtedness, indenture, instrument, judgment, decree or order or any statute, rule or regulation applicable to the Company or any Subsidiary, except for possible conflicts, defaults, terminations or amendments that would not reasonably be expected to have a Material Adverse Effect. The business of the Company and each Subsidiary is not being conducted, and shall not be conducted, in violation of any law, ordinance, regulation of any governmental entity, except for possible violations, the sanctions for which either individually or in the aggregate would not reasonably be expected to have a Material Adverse Effect. Except as specifically contemplated by this Agreement, the Registration Rights Agreement, and as required under the Securities Act or the Exchange Act or applicable state securities laws and the rules and regulations of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 thereof. Except as set forth elsewhere in this Agreement or the Registration Rights Agreement (including with respect to the receipt of stockholder approval for any issuance in excess of the Exchange Cap), all consents, authorizations, orders, filings and registrations which the Company is required to obtain pursuant to the preceding sentence shall be obtained or effected on or prior to the Commencement Date. Except as disclosed in the SEC Documents, since one (1) year prior to the date hereof, the Company has not received nor delivered any notices or correspondence from or to the Principal Market, other</w:t>
      </w:r>
      <w:r>
        <w:rPr>
          <w:color w:val="000000"/>
        </w:rPr>
        <w:t xml:space="preserve"> </w:t>
      </w:r>
      <w:r>
        <w:rPr>
          <w:rFonts w:ascii="Times New Roman" w:hAnsi="Times New Roman"/>
          <w:color w:val="000000"/>
          <w:sz w:val="22"/>
        </w:rPr>
        <w:t>than notices with respect to listing of additional shares of Common Stock and other routine correspondence. Except as disclosed in the SEC Documents, since one (1) year prior to the date hereof, the Principal Market has not commenced any delisting proceedings against the Company.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SEC Documents; Financial Statements</w:t>
      </w:r>
      <w:r>
        <w:rPr>
          <w:rFonts w:ascii="Times New Roman" w:hAnsi="Times New Roman"/>
          <w:color w:val="000000"/>
          <w:sz w:val="22"/>
        </w:rPr>
        <w:t>. The Company has filed all reports, schedules, forms, statements and other documents required to be filed by the Company with the SEC under the Securities Act and the Exchange Act, including pursuant to Section 13(a) or 15(d) thereof, for the twelve (12) months preceding the date hereof (or such shorter period as the Company was required by law or regulation to file such documents) (the foregoing materials, including the exhibits thereto and documents incorporated by reference therein, being collectively referred to herein as the “</w:t>
      </w:r>
      <w:r>
        <w:rPr>
          <w:rFonts w:ascii="Times New Roman" w:hAnsi="Times New Roman"/>
          <w:color w:val="000000"/>
          <w:sz w:val="22"/>
          <w:u w:val="single"/>
        </w:rPr>
        <w:t>SEC Documents</w:t>
      </w:r>
      <w:r>
        <w:rPr>
          <w:color w:val="000000"/>
        </w:rPr>
        <w:t>”</w:t>
      </w:r>
      <w:r>
        <w:rPr>
          <w:rFonts w:ascii="Times New Roman" w:hAnsi="Times New Roman"/>
          <w:color w:val="000000"/>
          <w:sz w:val="22"/>
        </w:rPr>
        <w:t xml:space="preserve">) on a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timely basis (giving effect to permissible extensions in accordance with Rule 12b-25 under the Exchange Act). As of their respective dates, the SEC Documents complied as to form in all material respects with the requirements of the Securities Act and the Exchange Act, as applicable, each as in effect on the date so filed. None of the SEC Documents contained, when filed as finally amended prior to the date hereof, any untrue statement of a material fact or omitted to state a material fact required to be stated or incorporated by reference therein or necessary in order to make the statements therein, in the light of the circumstances under which they were made, not misleading. Except as described in the notes thereto, the financial statements of the Company included in the SEC Documents, together with the related notes and schedules thereto, have been prepared in accordance with United States generally accepted accounting principles applied on a consistent basis and fairly present, ‎in all material respects, the financial position and the assets and liabilities and the results of ‎operations of the Company as of the respective dates thereof or for the respective periods set forth ‎therein; provided, however, that the unaudited financial statements of the Company are subject in all ‎respects to year-end adjustments and do not contain all footnotes and schedules required in ‎audited financial statements, none of which, individually or in the aggregate, are material.‎ Except as disclosed in the SEC documents or as publicly available through the SEC’s Electronic Data Gathering, Analysis, and Retrieval system (EDGAR), or in connection with a confidential treatment request submitted to the SEC, the Company has received no notices or correspondence from the SEC for the one (1) year preceding the date hereof other than SEC comment letters relating to the Company’s filings under the Exchange Act and the Securities Act. There are no outstanding or unresolved comments in comment letters received from the SEC ‎staff with respect to any of the SEC Documents. ‎To the Company’s knowledge, the SEC has not commenced any enforcement proceedings against the Company or any of its Subsidiaries.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Absence of Certain Changes</w:t>
      </w:r>
      <w:r>
        <w:rPr>
          <w:rFonts w:ascii="Times New Roman" w:hAnsi="Times New Roman"/>
          <w:color w:val="000000"/>
          <w:sz w:val="22"/>
        </w:rPr>
        <w:t>. Except as disclosed in the SEC Documents and as expressly disclosed by this Agreement, since March 31, 2026, there has not occurred any event or development that, individually or in the aggregate, has had or would reasonably be expected to have a Material Adverse Effect.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w:t>
      </w:r>
      <w:r>
        <w:rPr>
          <w:color w:val="000000"/>
        </w:rPr>
        <w:t xml:space="preserve"> </w:t>
      </w:r>
      <w:r>
        <w:rPr>
          <w:rFonts w:ascii="Times New Roman" w:hAnsi="Times New Roman"/>
          <w:color w:val="000000"/>
          <w:sz w:val="22"/>
        </w:rPr>
        <w:t>or insolvency proceedings. The Company is financially solvent and is generally able to pay its debts as they become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Absence of Litigation</w:t>
      </w:r>
      <w:r>
        <w:rPr>
          <w:rFonts w:ascii="Times New Roman" w:hAnsi="Times New Roman"/>
          <w:color w:val="000000"/>
          <w:sz w:val="22"/>
        </w:rPr>
        <w:t>. Except as disclosed in the SEC documents, there is no action, suit, proceeding, inquiry or investigation before or by any court, public board, government agency, self-regulatory organization or body pending or, to the knowledge of the Company or any of its Subsidiaries, threatened against or affecting the Company or any of its Subsidiaries, the Common Stock or any of the Company’s or its Subsidiaries’ officers or directors in their capacities as such, which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Acknowledgment Regarding Investor</w:t>
      </w:r>
      <w:r>
        <w:rPr>
          <w:color w:val="000000"/>
        </w:rPr>
        <w:t>’</w:t>
      </w:r>
      <w:r>
        <w:rPr>
          <w:rFonts w:ascii="Times New Roman" w:hAnsi="Times New Roman"/>
          <w:color w:val="000000"/>
          <w:sz w:val="22"/>
          <w:u w:val="single"/>
        </w:rPr>
        <w:t>s Status</w:t>
      </w:r>
      <w:r>
        <w:rPr>
          <w:rFonts w:ascii="Times New Roman" w:hAnsi="Times New Roman"/>
          <w:color w:val="000000"/>
          <w:sz w:val="22"/>
        </w:rPr>
        <w:t>. The Company acknowledges and agrees that the Investor is acting solely in the capacity of arm’s length purchaser with respect to the Transaction Documents and the transactions contemplated hereby and thereby. The Company further acknowledges that the Investor is not acting as a financial advisor or fiduciary of the Company (or in any similar capacity) with respect to the Transaction Documents and the transactions contemplated hereby and thereby and any advice given by the Investor or any of its representatives or agents in connection with the Transaction Documents and the transactions contemplated hereby and thereby is merely incidental to the Investor’s purchase of the Securities. The Company further represents to the Investor that the Company’s decision to enter into the Transaction Documents has been based solely on the independent evaluation by the Company and its representatives and advisors.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No General Solicitation; No Aggregated Offering</w:t>
      </w:r>
      <w:r>
        <w:rPr>
          <w:rFonts w:ascii="Times New Roman" w:hAnsi="Times New Roman"/>
          <w:color w:val="000000"/>
          <w:sz w:val="22"/>
        </w:rPr>
        <w:t xml:space="preserve">. Neither the Company, nor any of its affiliates, nor any Person acting on its or their behalf, has engaged in any form of general solicitation or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 advertising (within the meaning of Regulation D under the Securities Act) in connection with the offer or sale of the Securities. Neither the Company, nor or any of its affiliates, nor any Person acting on their behalf has, directly or indirectly, made any offers or sales of any security or solicited any offers to buy any security, under circumstances that would require registration of the offer and sale of any of the Securities under the Securities Act, whether through integration with prior offerings or otherwise, or cause this offering of the Securities to be aggregated with prior offerings by the Company in a manner that would require stockholder approval pursuant to the rules of the Principal Market on which any of the securities of the Company are listed or designated. The issuance and sale of the Securities hereunder does not contravene the rules and regulations of the Principal Market.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Intellectual Property Rights</w:t>
      </w:r>
      <w:r>
        <w:rPr>
          <w:rFonts w:ascii="Times New Roman" w:hAnsi="Times New Roman"/>
          <w:color w:val="000000"/>
          <w:sz w:val="22"/>
        </w:rPr>
        <w:t>. Except as disclosed in the SEC Documents,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necessary to conduct their respective businesses as now conducted, except as such failure to own, possess or acquire such rights would not reasonably be expected, individually or in the aggregate, to result in a Material Adverse Effect. None of the Company’s material trademarks, trade names, service marks, service mark registrations, service names, patents, patent rights, copyrights, inventions, licenses, approvals, government authorizations, trade secrets or other intellectual property rights have expired or terminated, or, by the terms and conditions thereof, could expire or terminate within two (2) years from the date of this Agreement, except as would not reasonably be expected to have a Material Adverse Effect. The Company is not, and to the knowledge of the Company, no other party is in material breach of any license agreement related to the intellectual property rights of the Company. The Company and its Subsidiaries do not have any knowledge of any infringement by the Company or its Subsidiaries of any material trademark, trade name rights, patents, patent rights, copyrights, inventions, licenses, service names, service marks, service mark registrations, trade secret or other similar rights of others, or of any such development of similar or identical trade secrets or technical information by others, and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which would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Environmental Laws</w:t>
      </w:r>
      <w:r>
        <w:rPr>
          <w:rFonts w:ascii="Times New Roman" w:hAnsi="Times New Roman"/>
          <w:color w:val="000000"/>
          <w:sz w:val="22"/>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hAnsi="Times New Roman"/>
          <w:color w:val="000000"/>
          <w:sz w:val="22"/>
          <w:u w:val="single"/>
        </w:rPr>
        <w:t>Environmental Laws</w:t>
      </w:r>
      <w:r>
        <w:rPr>
          <w:color w:val="000000"/>
        </w:rPr>
        <w:t>”</w:t>
      </w:r>
      <w:r>
        <w:rPr>
          <w:rFonts w:ascii="Times New Roman" w:hAnsi="Times New Roman"/>
          <w:color w:val="000000"/>
          <w:sz w:val="22"/>
        </w:rPr>
        <w:t>), (ii) have received all permits, licenses or other approvals required of them under applicable Environmental Laws to conduct their respective businesses and (iii) are in compliance with all terms and conditions of any such permit, license or approval, except where, in each of the three foregoing clauses, the failure to so comply could not reasonably be expected to have, individually or in the aggregate,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Title</w:t>
      </w:r>
      <w:r>
        <w:rPr>
          <w:rFonts w:ascii="Times New Roman" w:hAnsi="Times New Roman"/>
          <w:color w:val="000000"/>
          <w:sz w:val="22"/>
        </w:rPr>
        <w:t xml:space="preserve">. Except as disclosed in the SEC Documents, the Company and its Subsidiaries have good and marketable title in fee simple to all real property owned by them and good and marketable title in all personal property owned by them that is material to the business of the Company and its Subsidiaries, in each case free and clear of all Liens and, except for Liens as do not materially affect the value of such property and do not materially interfere with the use made and proposed to be made of such property by the Company and its Subsidiaries, Liens disclosed in the SEC Documents, and Liens for the payment of federal, state or other taxes, the payment of which is neither delinquent nor subject to penalties and Liens that would not reasonably be expected, individually or in the aggregate, to result in a Material Adverse Effect. Any real property and facilities held under lease by the Company and its Subsidiaries are held by them under valid, subsisting and enforceable leases with which the Company and its Subsidiaries are in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compliance with such exceptions as are not material and do not interfere with the use made and proposed to be made of such property and buildings by the Company and its Subsidiaries or would not reasonably be expected, individually or in the aggregate, to result in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Insurance</w:t>
      </w:r>
      <w:r>
        <w:rPr>
          <w:rFonts w:ascii="Times New Roman" w:hAnsi="Times New Roman"/>
          <w:color w:val="000000"/>
          <w:sz w:val="22"/>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u w:val="single"/>
        </w:rPr>
        <w:t>Regulatory Permits</w:t>
      </w:r>
      <w:r>
        <w:rPr>
          <w:rFonts w:ascii="Times New Roman" w:hAnsi="Times New Roman"/>
          <w:color w:val="000000"/>
          <w:sz w:val="22"/>
        </w:rPr>
        <w:t>. The Company and its Subsidiaries possess all material certificates, authorizations and permits issued by the appropriate federal, state, local or foreign regulatory authorities necessary to conduct their respective businesses as currently conducted, except where the failure to possess such certificates, authorizations, or permits would not reasonably be expected to have a Material Adverse Effect, and neither the Company nor any such Subsidiary has received any notice of proceedings relating to the revocation or modification of any such material certificate, authorization or permit except such notices that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2"/>
          <w:u w:val="single"/>
        </w:rPr>
        <w:t>Tax Status</w:t>
      </w:r>
      <w:r>
        <w:rPr>
          <w:rFonts w:ascii="Times New Roman" w:hAnsi="Times New Roman"/>
          <w:color w:val="000000"/>
          <w:sz w:val="22"/>
        </w:rPr>
        <w:t>. Except as disclosed in the SEC Documents, the Company and each of its Subsidiaries have made or filed all federal, state, local or foreign income and all other material tax returns, reports and declarations required by any jurisdiction to which it is subject (unless and only to the extent that the Company and each of its Subsidiaries have set aside on its books provisions reasonably adequate for the payment of all unpaid and unreported taxes) and have paid all taxes and other governmental assessments and charges that are material in amount, shown or determined to be due on such returns, reports and declarations, except those being contested in good faith and has set aside on its books provision reasonably adequate for the payment of all taxes for periods subsequent to the periods to which such returns, reports or declarations apply, and except as would not reasonably be expected to have a Material Adverse Effect. To the Company’s knowledge, there are no unpaid taxes in any material amount claimed to be due by the taxing authority of any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rFonts w:ascii="Times New Roman" w:hAnsi="Times New Roman"/>
          <w:color w:val="000000"/>
          <w:sz w:val="22"/>
          <w:u w:val="single"/>
        </w:rPr>
        <w:t>Transactions with Affiliates</w:t>
      </w:r>
      <w:r>
        <w:rPr>
          <w:rFonts w:ascii="Times New Roman" w:hAnsi="Times New Roman"/>
          <w:color w:val="000000"/>
          <w:sz w:val="22"/>
        </w:rPr>
        <w:t>. Except as disclosed in the SEC Documents, to the Company’s knowledge, none of the Company’s stockholders</w:t>
      </w:r>
      <w:r>
        <w:rPr>
          <w:color w:val="000000"/>
        </w:rPr>
        <w:t xml:space="preserve"> </w:t>
      </w:r>
      <w:r>
        <w:rPr>
          <w:rFonts w:ascii="Times New Roman" w:hAnsi="Times New Roman"/>
          <w:color w:val="000000"/>
          <w:sz w:val="22"/>
        </w:rPr>
        <w:t>covered by Item 403(a) of Regulation S-K, officers or directors or any family member or affiliate of any of the foregoing, has either directly or indirectly an interest in, or is a party to, any transaction that is required to be disclosed as a related party transaction pursuant to Item 404 of Regulation S-K promulgated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rFonts w:ascii="Times New Roman" w:hAnsi="Times New Roman"/>
          <w:color w:val="000000"/>
          <w:sz w:val="22"/>
          <w:u w:val="single"/>
        </w:rPr>
        <w:t>Application of Takeover Protections</w:t>
      </w:r>
      <w:r>
        <w:rPr>
          <w:rFonts w:ascii="Times New Roman" w:hAnsi="Times New Roman"/>
          <w:color w:val="000000"/>
          <w:sz w:val="22"/>
        </w:rPr>
        <w:t xml:space="preserve">.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which is or could become applicable to the Investor as a result of the transactions contemplated by this Agreement, including, without limitation, the Company’s issuance of the Securities and the Investor’s ownership of the Securities.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rFonts w:ascii="Times New Roman" w:hAnsi="Times New Roman"/>
          <w:color w:val="000000"/>
          <w:sz w:val="22"/>
          <w:u w:val="single"/>
        </w:rPr>
        <w:t>Disclosure</w:t>
      </w:r>
      <w:r>
        <w:rPr>
          <w:rFonts w:ascii="Times New Roman" w:hAnsi="Times New Roman"/>
          <w:color w:val="000000"/>
          <w:sz w:val="22"/>
        </w:rPr>
        <w:t xml:space="preserve">. Except with respect to the material terms and conditions of the transactions contemplated by the Transaction Documents that will be timely publicly disclosed by the Company, the Company confirms that neither it nor any other Person acting on its behalf has provided the Investor or its agents or counsel with any information that it believes constitutes or might constitute material, non-public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information which is not otherwise disclosed in the SEC Documents. The Company understands and confirms that the Investor will rely on the foregoing representation in effecting purchases and sales of securities of the Company. The Company acknowledges and agrees that the Investor neither makes nor has made any representations or warranties with respect to the transactions contemplated hereby other than those specifically set forth in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rFonts w:ascii="Times New Roman" w:hAnsi="Times New Roman"/>
          <w:color w:val="000000"/>
          <w:sz w:val="22"/>
          <w:u w:val="single"/>
        </w:rPr>
        <w:t>Foreign Corrupt Practices</w:t>
      </w:r>
      <w:r>
        <w:rPr>
          <w:rFonts w:ascii="Times New Roman" w:hAnsi="Times New Roman"/>
          <w:color w:val="000000"/>
          <w:sz w:val="22"/>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rFonts w:ascii="Times New Roman" w:hAnsi="Times New Roman"/>
          <w:color w:val="000000"/>
          <w:sz w:val="22"/>
          <w:u w:val="single"/>
        </w:rPr>
        <w:t>DTC Eligibility</w:t>
      </w:r>
      <w:r>
        <w:rPr>
          <w:rFonts w:ascii="Times New Roman" w:hAnsi="Times New Roman"/>
          <w:color w:val="000000"/>
          <w:sz w:val="22"/>
        </w:rPr>
        <w:t xml:space="preserve">. The Company, through the Transfer Agent, currently participates in the DTC Fast Automated Securities Transfer (FAST) Program and the Common Stock can be transferred electronically to third parties via the DTC Fast Automated Securities Transfer (FAST) Program.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color w:val="000000"/>
          <w:sz w:val="22"/>
          <w:u w:val="single"/>
        </w:rPr>
        <w:t>Disclosure Controls.</w:t>
      </w:r>
      <w:r>
        <w:rPr>
          <w:color w:val="000000"/>
        </w:rPr>
        <w:t xml:space="preserve"> </w:t>
      </w:r>
      <w:r>
        <w:rPr>
          <w:rFonts w:ascii="Times New Roman" w:hAnsi="Times New Roman"/>
          <w:color w:val="000000"/>
          <w:sz w:val="22"/>
        </w:rPr>
        <w:t>The Company maintains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as appropriate to allow timely decisions regarding required disclosure. The Company and its management have carried out evaluations of the effectiveness of their disclosure controls and procedures as required by Rule 13a-15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rFonts w:ascii="Times New Roman" w:hAnsi="Times New Roman"/>
          <w:color w:val="000000"/>
          <w:sz w:val="22"/>
          <w:u w:val="single"/>
        </w:rPr>
        <w:t>Certain Fees</w:t>
      </w:r>
      <w:r>
        <w:rPr>
          <w:rFonts w:ascii="Times New Roman" w:hAnsi="Times New Roman"/>
          <w:color w:val="000000"/>
          <w:sz w:val="22"/>
        </w:rPr>
        <w:t xml:space="preserve">. No brokerage or finder’s fees or commissions are or will be payable by the Company to any broker, financial advisor or consultant, finder, placement agent, investment banker, bank or other Person with respect to the transactions contemplated by the Transaction Documents. The Investor shall have no obligation with respect to any fees or with respect to any claims made by or on behalf of other Persons for fees of a type contemplated in this </w:t>
      </w:r>
      <w:r>
        <w:rPr>
          <w:rFonts w:ascii="Times New Roman" w:hAnsi="Times New Roman"/>
          <w:color w:val="000000"/>
          <w:sz w:val="22"/>
          <w:u w:val="single"/>
        </w:rPr>
        <w:t>Section 4(w)</w:t>
      </w:r>
      <w:r>
        <w:rPr>
          <w:color w:val="000000"/>
        </w:rPr>
        <w:t xml:space="preserve"> </w:t>
      </w:r>
      <w:r>
        <w:rPr>
          <w:rFonts w:ascii="Times New Roman" w:hAnsi="Times New Roman"/>
          <w:color w:val="000000"/>
          <w:sz w:val="22"/>
        </w:rPr>
        <w:t>that may be due in connection with the transactions contemplated by the Transaction Documents. The Company shall pay, and hold the Investor harmless against, any liability, loss or expense (including, without limitation, attorneys’ fees and out of pocket expenses) arising in connection with any such claim.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rFonts w:ascii="Times New Roman" w:hAnsi="Times New Roman"/>
          <w:color w:val="000000"/>
          <w:sz w:val="22"/>
          <w:u w:val="single"/>
        </w:rPr>
        <w:t>Investment Company</w:t>
      </w:r>
      <w:r>
        <w:rPr>
          <w:rFonts w:ascii="Times New Roman" w:hAnsi="Times New Roman"/>
          <w:color w:val="000000"/>
          <w:sz w:val="22"/>
        </w:rPr>
        <w:t>. The Company is not, and immediately after giving effect to the sale of the Purchase Shares in accordance with this Agreement and the application of the proceeds as described in the Registration Statement under the caption “Use of Proceeds,” will not be, required to register as an “investment company” or a company “controlled by” an entity ‎required to register as an‎ “investment company” within the meaning of the Investment Company Act of 1940,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rFonts w:ascii="Times New Roman" w:hAnsi="Times New Roman"/>
          <w:color w:val="000000"/>
          <w:sz w:val="22"/>
          <w:u w:val="single"/>
        </w:rPr>
        <w:t>Listing and Maintenance Requirements</w:t>
      </w:r>
      <w:r>
        <w:rPr>
          <w:rFonts w:ascii="Times New Roman" w:hAnsi="Times New Roman"/>
          <w:color w:val="000000"/>
          <w:sz w:val="22"/>
        </w:rPr>
        <w:t>. The Common Stock is registered pursuant to Section 12(b) of the Exchange Act, and the Company has taken no action designed to, or which to its knowledge is likely to have the effect of, terminating the registration of the Common Stock pursuant to the Exchange Act nor has the Company received any notification that the SEC is currently contemplating terminating such registration. The Company has not been, and currently is not, an Ineligible Issuer (as defined in Rule 405 of the Securities Act).</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pPr>
      <w:r>
        <w:rPr>
          <w:rFonts w:ascii="Times New Roman" w:hAnsi="Times New Roman"/>
          <w:color w:val="000000"/>
          <w:sz w:val="22"/>
          <w:u w:val="single"/>
        </w:rPr>
        <w:t>Accountants</w:t>
      </w:r>
      <w:r>
        <w:rPr>
          <w:rFonts w:ascii="Times New Roman" w:hAnsi="Times New Roman"/>
          <w:color w:val="000000"/>
          <w:sz w:val="22"/>
        </w:rPr>
        <w:t>. The Company’s accountants are set forth in the SEC Documents and, to the knowledge of the Company, such accountants are an independent registered public accounting firm as required by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pPr>
      <w:r>
        <w:rPr>
          <w:rFonts w:ascii="Times New Roman" w:hAnsi="Times New Roman"/>
          <w:color w:val="000000"/>
          <w:sz w:val="22"/>
          <w:u w:val="single"/>
        </w:rPr>
        <w:t>No Market Manipulation</w:t>
      </w:r>
      <w:r>
        <w:rPr>
          <w:rFonts w:ascii="Times New Roman" w:hAnsi="Times New Roman"/>
          <w:color w:val="000000"/>
          <w:sz w:val="22"/>
        </w:rPr>
        <w:t>. The Company has not, and to its knowledge no Person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pPr>
      <w:r>
        <w:rPr>
          <w:rFonts w:ascii="Times New Roman" w:hAnsi="Times New Roman"/>
          <w:color w:val="000000"/>
          <w:sz w:val="22"/>
          <w:u w:val="single"/>
        </w:rPr>
        <w:t>Shell Company Status</w:t>
      </w:r>
      <w:r>
        <w:rPr>
          <w:rFonts w:ascii="Times New Roman" w:hAnsi="Times New Roman"/>
          <w:color w:val="000000"/>
          <w:sz w:val="22"/>
        </w:rPr>
        <w:t>. The Company is not, and has not been in the past twenty-four (24) months, an issuer identified in Rule 144(i)(1)(i) and, if so, has filed with the SEC current “Form 10 information” (as defined in Rule 144(i)(3)) at least twelve (12) months prior to the date of this Agreement reflecting its status as an entity that is no longer an issuer identified in Rule 144(i)(1)(i).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pPr>
      <w:r>
        <w:rPr>
          <w:rFonts w:ascii="Times New Roman" w:hAnsi="Times New Roman"/>
          <w:color w:val="000000"/>
          <w:sz w:val="22"/>
          <w:u w:val="single"/>
        </w:rPr>
        <w:t>Sarbanes-Oxley</w:t>
      </w:r>
      <w:r>
        <w:rPr>
          <w:rFonts w:ascii="Times New Roman" w:hAnsi="Times New Roman"/>
          <w:color w:val="000000"/>
          <w:sz w:val="22"/>
        </w:rPr>
        <w:t>. The Company is in compliance with all material provisions of the Sarbanes-Oxley Act of 2002, as amended, which are applicable to it as of the date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2"/>
          <w:u w:val="single"/>
        </w:rPr>
        <w:t>Benefit Plans; Labor Matters</w:t>
      </w:r>
      <w:r>
        <w:rPr>
          <w:rFonts w:ascii="Times New Roman" w:hAnsi="Times New Roman"/>
          <w:color w:val="000000"/>
          <w:sz w:val="22"/>
        </w:rPr>
        <w:t>. Each benefit and compensation plan, agreement, policy and arrangement that is maintained, administered or contributed to by the Company for current or former employees or directors of, or independent contractors with respect to, the Company has been maintained in compliance in all material respects with its terms and the requirements of any applicable statutes, orders, rules and regulations, and the Company has complied in all material respects with all applicable statutes, orders, rules and regulations in regard to such plans, agreements, policies and arrangements. Each stock option granted under any equity incentive plan of the Company (each, a “</w:t>
      </w:r>
      <w:r>
        <w:rPr>
          <w:rFonts w:ascii="Times New Roman" w:hAnsi="Times New Roman"/>
          <w:color w:val="000000"/>
          <w:sz w:val="22"/>
          <w:u w:val="single"/>
        </w:rPr>
        <w:t>Stock Plan</w:t>
      </w:r>
      <w:r>
        <w:rPr>
          <w:color w:val="000000"/>
        </w:rPr>
        <w:t>”</w:t>
      </w:r>
      <w:r>
        <w:rPr>
          <w:rFonts w:ascii="Times New Roman" w:hAnsi="Times New Roman"/>
          <w:color w:val="000000"/>
          <w:sz w:val="22"/>
        </w:rPr>
        <w:t>) since April 27, 2021 was granted with a per share exercise price no less than the market price per share of Common Stock on the grant date of such option in accordance with the rules of the Principal Market, and no such grant involved any “back-dating,” “forward-dating” or similar practice with respect to the effective date of such grant; each such option (i) was granted in compliance in all material respects with applicable laws and with the applicable Stock Plan(s), (ii) was duly approved by the Board of Directors, a duly authorized committee thereof, or the Chief Executive Officer pursuant to delegated authority, and (iii) has been properly accounted for in the Company’s financial statements and disclosed, to the extent required, in the Company’s filings or submissions with the SEC, and the Principal Market. No labor problem or dispute with the employees of the Company exists or is threatened or imminent, and the Company is not aware of any existing or imminent labor disturbance by the employees of any of its principal suppliers or contractors, that would have a Material Adverse Effect.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pPr>
      <w:r>
        <w:rPr>
          <w:rFonts w:ascii="Times New Roman" w:hAnsi="Times New Roman"/>
          <w:color w:val="000000"/>
          <w:sz w:val="22"/>
          <w:u w:val="single"/>
        </w:rPr>
        <w:t>Regulatory</w:t>
      </w:r>
      <w:r>
        <w:rPr>
          <w:rFonts w:ascii="Times New Roman" w:hAnsi="Times New Roman"/>
          <w:color w:val="000000"/>
          <w:sz w:val="22"/>
        </w:rPr>
        <w:t>. Except as disclosed in the SEC Documents, the Company and its Subsidiaries possess all material certificates, authorizations and permits issued by the appropriate federal, state or foreign regulatory authorities necessary to conduct their respective businesses as currently conducted and neither the Company nor any such Subsidiary has received any notice of proceedings relating to the revocation or modification of any such certificate, authorization or permit, except in the case of each of the two foregoing clauses, as would not reasonably be expected to have a Material Adverse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pPr>
      <w:r>
        <w:rPr>
          <w:rFonts w:ascii="Times New Roman" w:hAnsi="Times New Roman"/>
          <w:color w:val="000000"/>
          <w:sz w:val="22"/>
          <w:u w:val="single"/>
        </w:rPr>
        <w:t>No Disqualification Events</w:t>
      </w:r>
      <w:r>
        <w:rPr>
          <w:rFonts w:ascii="Times New Roman" w:hAnsi="Times New Roman"/>
          <w:color w:val="000000"/>
          <w:sz w:val="22"/>
        </w:rPr>
        <w:t>. None of the Company, any of its predecessors, any affiliated issuer, any director, executive officer, other officer of the Company participating in the offering contemplated hereby,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color w:val="000000"/>
          <w:sz w:val="22"/>
          <w:u w:val="single"/>
        </w:rPr>
        <w:t>Issuer Covered Person</w:t>
      </w:r>
      <w:r>
        <w:rPr>
          <w:color w:val="000000"/>
        </w:rPr>
        <w:t>”</w:t>
      </w:r>
      <w:r>
        <w:rPr>
          <w:rFonts w:ascii="Times New Roman" w:hAnsi="Times New Roman"/>
          <w:color w:val="000000"/>
          <w:sz w:val="22"/>
        </w:rPr>
        <w:t xml:space="preserve">) is subject to any of the “Bad Actor” disqualifications described in Rule 506(d)(1)(i) to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(viii) under the Securities Act (a “</w:t>
      </w:r>
      <w:r>
        <w:rPr>
          <w:rFonts w:ascii="Times New Roman" w:hAnsi="Times New Roman"/>
          <w:color w:val="000000"/>
          <w:sz w:val="22"/>
          <w:u w:val="single"/>
        </w:rPr>
        <w:t>Disqualification Event</w:t>
      </w:r>
      <w:r>
        <w:rPr>
          <w:color w:val="000000"/>
        </w:rPr>
        <w:t>”</w:t>
      </w:r>
      <w:r>
        <w:rPr>
          <w:rFonts w:ascii="Times New Roman" w:hAnsi="Times New Roman"/>
          <w:color w:val="000000"/>
          <w:sz w:val="22"/>
        </w:rPr>
        <w:t>), except for a Disqualification Event covered by Rule 506(d)(2) or (d)(3) under the Securities Act. The Company has exercised reasonable care to determine whether any Issuer Covered Person is subject to a Disqualification Event.</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5.</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COVENANTS.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Filing of Current Report and Registration Statement</w:t>
      </w:r>
      <w:r>
        <w:rPr>
          <w:rFonts w:ascii="Times New Roman" w:hAnsi="Times New Roman"/>
          <w:color w:val="000000"/>
          <w:sz w:val="22"/>
        </w:rPr>
        <w:t>. The Company agrees that it shall, within the time required under the Exchange Act, file with the SEC a report on Form 8-K relating to the transactions contemplated by, and describing the material terms and conditions of, the Transaction Documents (the “</w:t>
      </w:r>
      <w:r>
        <w:rPr>
          <w:rFonts w:ascii="Times New Roman" w:hAnsi="Times New Roman"/>
          <w:color w:val="000000"/>
          <w:sz w:val="22"/>
          <w:u w:val="single"/>
        </w:rPr>
        <w:t>Current Report</w:t>
      </w:r>
      <w:r>
        <w:rPr>
          <w:color w:val="000000"/>
        </w:rPr>
        <w:t>”</w:t>
      </w:r>
      <w:r>
        <w:rPr>
          <w:rFonts w:ascii="Times New Roman" w:hAnsi="Times New Roman"/>
          <w:color w:val="000000"/>
          <w:sz w:val="22"/>
        </w:rPr>
        <w:t>). The Company shall also file with the SEC within ten (10) Business Days of the date hereof a new registration statement (the “</w:t>
      </w:r>
      <w:r>
        <w:rPr>
          <w:rFonts w:ascii="Times New Roman" w:hAnsi="Times New Roman"/>
          <w:color w:val="000000"/>
          <w:sz w:val="22"/>
          <w:u w:val="single"/>
        </w:rPr>
        <w:t>Registration Statement</w:t>
      </w:r>
      <w:r>
        <w:rPr>
          <w:color w:val="000000"/>
        </w:rPr>
        <w:t>”</w:t>
      </w:r>
      <w:r>
        <w:rPr>
          <w:rFonts w:ascii="Times New Roman" w:hAnsi="Times New Roman"/>
          <w:color w:val="000000"/>
          <w:sz w:val="22"/>
        </w:rPr>
        <w:t>) covering the resale of Securities in accordance with the terms of the Registration Rights Agreement. The Company shall permit the Investor to review and comment upon the final pre-filing draft version of the Registration Statement at least two (2) Business Days prior to the filing of it with the SEC, and the Company shall not file the Registration Statement with the SEC in a form to which the Investor reasonably objects. The Investor shall use its commercially reasonable efforts to comment upon the final pre-filing draft version of the Registration Statement, and provide such information regarding itself, the Registrable Securities (as defined in the Registration Rights Agreement) held by the Investor, and the intended method of disposition of the Registrable Securities held by the Investor as shall be reasonably necessary to effect the registration of the Registrable Securities, within two (2) Business Days from the date the Investor receives it from the Company. The Investor shall reasonably cooperate with the Company in connection with the filing of the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Blue Sky</w:t>
      </w:r>
      <w:r>
        <w:rPr>
          <w:rFonts w:ascii="Times New Roman" w:hAnsi="Times New Roman"/>
          <w:color w:val="000000"/>
          <w:sz w:val="22"/>
        </w:rPr>
        <w:t>. The Company shall take all such action, if any, as is reasonably necessary in order to obtain an exemption for or to register or qualify (i) the issuance of the Commitment Shares and the sale of the Purchase Shares to the Investor under this Agreement and (ii) any subsequent resale of all Securities by the Investor, in each case, under applicable securities or “Blue Sky” laws of the states of the United States in such states as is reasonably requested by the Investor from time to time, and shall provide evidence of any such action so taken to the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Listing/DTC</w:t>
      </w:r>
      <w:r>
        <w:rPr>
          <w:rFonts w:ascii="Times New Roman" w:hAnsi="Times New Roman"/>
          <w:color w:val="000000"/>
          <w:sz w:val="22"/>
        </w:rPr>
        <w:t xml:space="preserve">. The Company shall promptly secure the listing of all of the Securities to be issued to the Investor hereunder on the Principal Market (subject to official notice of issuance) and upon each other national securities exchange or automated quotation system, if any, upon which the Common Stock is then listed, and shall use commercially reasonable efforts to maintain, so long as any shares of Common Stock shall be so listed, such listing of all such Securities from time to time issuable hereunder. The Company shall use commercially reasonable efforts to maintain the listing of the Common Stock on the Principal Market and shall comply in all respects with the Company’s reporting, filing and other obligations under the bylaws or rules and regulations of the Principal Market. Neither the Company nor any of its Subsidiaries shall take any action that would reasonably be expected to result in the delisting or suspension of the Common Stock on the Principal Market. The Company shall promptly, and in no event later than the following Business Day, provide to the Investor copies of any notices it receives from the Principal Market regarding the continued eligibility of the Common Stock for listing on the Principal Market; provided, however, that the Company shall not provide the Investor copies of any such notice that the Company reasonably believes constitutes material non-public information and that the Company would not be required to publicly disclose in any report or statement filed with the SEC under the Exchange Act (including on Form 8-K) or the Securities Act. The Company shall pay all fees and expenses in connection with satisfying its obligations under this </w:t>
      </w:r>
      <w:r>
        <w:rPr>
          <w:rFonts w:ascii="Times New Roman" w:hAnsi="Times New Roman"/>
          <w:color w:val="000000"/>
          <w:sz w:val="22"/>
          <w:u w:val="single"/>
        </w:rPr>
        <w:t>Section 5(c)</w:t>
      </w:r>
      <w:r>
        <w:rPr>
          <w:rFonts w:ascii="Times New Roman" w:hAnsi="Times New Roman"/>
          <w:color w:val="000000"/>
          <w:sz w:val="22"/>
        </w:rPr>
        <w:t>. The Company shall take all action necessary to ensure that its Common Stock can be transferred electronically as DWAC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Prohibition of Short Sales and Hedging Transactions</w:t>
      </w:r>
      <w:r>
        <w:rPr>
          <w:rFonts w:ascii="Times New Roman" w:hAnsi="Times New Roman"/>
          <w:color w:val="000000"/>
          <w:sz w:val="22"/>
        </w:rPr>
        <w:t xml:space="preserve">. The Investor agrees that beginning on the date of this Agreement and ending on the date of termination of this Agreement as provided in </w:t>
      </w:r>
      <w:r>
        <w:rPr>
          <w:rFonts w:ascii="Times New Roman" w:hAnsi="Times New Roman"/>
          <w:color w:val="000000"/>
          <w:sz w:val="22"/>
          <w:u w:val="single"/>
        </w:rPr>
        <w:t xml:space="preserve">Section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u w:val="single"/>
        </w:rPr>
        <w:t>11</w:t>
      </w:r>
      <w:r>
        <w:rPr>
          <w:color w:val="000000"/>
        </w:rPr>
        <w:t xml:space="preserve"> </w:t>
      </w:r>
      <w:r>
        <w:rPr>
          <w:rFonts w:ascii="Times New Roman" w:hAnsi="Times New Roman"/>
          <w:color w:val="000000"/>
          <w:sz w:val="22"/>
        </w:rPr>
        <w:t>hereof, the Investor and its agents, representatives and affiliates shall not in any manner whatsoever enter into or effect, directly or indirectly, any (i) “short sale” (as such term is defined in Rule 200 of Regulation SHO of the Exchange Act) of the Common Stock or (ii) hedging transaction, which establishes a short position with respect to the Common Stock.</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Issuance of Commitment Shares</w:t>
      </w:r>
      <w:r>
        <w:rPr>
          <w:rFonts w:ascii="Times New Roman" w:hAnsi="Times New Roman"/>
          <w:color w:val="000000"/>
          <w:sz w:val="22"/>
        </w:rPr>
        <w:t>. In consideration for the Investor’s execution and delivery of this Agreement, the Company shall cause the Transfer Agent to issue on the date of this Agreement Sixty Thousand One Hundred Forty-Five (60,145) shares of Common Stock (the “</w:t>
      </w:r>
      <w:r>
        <w:rPr>
          <w:rFonts w:ascii="Times New Roman" w:hAnsi="Times New Roman"/>
          <w:color w:val="000000"/>
          <w:sz w:val="22"/>
          <w:u w:val="single"/>
        </w:rPr>
        <w:t>Commitment Shares</w:t>
      </w:r>
      <w:r>
        <w:rPr>
          <w:color w:val="000000"/>
        </w:rPr>
        <w:t>”</w:t>
      </w:r>
      <w:r>
        <w:rPr>
          <w:rFonts w:ascii="Times New Roman" w:hAnsi="Times New Roman"/>
          <w:color w:val="000000"/>
          <w:sz w:val="22"/>
        </w:rPr>
        <w:t xml:space="preserve">) directly to the Investor and shall deliver to the Transfer Agent the Irrevocable Transfer Agent Instructions in the form as set forth in </w:t>
      </w:r>
      <w:r>
        <w:rPr>
          <w:rFonts w:ascii="Times New Roman" w:hAnsi="Times New Roman"/>
          <w:color w:val="000000"/>
          <w:sz w:val="22"/>
          <w:u w:val="single"/>
        </w:rPr>
        <w:t>Section 6</w:t>
      </w:r>
      <w:r>
        <w:rPr>
          <w:color w:val="000000"/>
        </w:rPr>
        <w:t xml:space="preserve"> </w:t>
      </w:r>
      <w:r>
        <w:rPr>
          <w:rFonts w:ascii="Times New Roman" w:hAnsi="Times New Roman"/>
          <w:color w:val="000000"/>
          <w:sz w:val="22"/>
        </w:rPr>
        <w:t>hereof. For the avoidance of doubt, all of the Commitment Shares shall be fully earned as of the date of this Agreement, whether or not Commencement shall occur or any Purchase Shares are purchased by the Investor under this Agreement and irrespective of any termination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Due Diligence; Non-Public Information</w:t>
      </w:r>
      <w:r>
        <w:rPr>
          <w:rFonts w:ascii="Times New Roman" w:hAnsi="Times New Roman"/>
          <w:color w:val="000000"/>
          <w:sz w:val="22"/>
        </w:rPr>
        <w:t xml:space="preserve">. During the term of this Agreement and subject to </w:t>
      </w:r>
      <w:r>
        <w:rPr>
          <w:rFonts w:ascii="Times New Roman" w:hAnsi="Times New Roman"/>
          <w:color w:val="000000"/>
          <w:sz w:val="22"/>
          <w:u w:val="single"/>
        </w:rPr>
        <w:t>Section 4(s)</w:t>
      </w:r>
      <w:r>
        <w:rPr>
          <w:color w:val="000000"/>
        </w:rPr>
        <w:t xml:space="preserve"> </w:t>
      </w:r>
      <w:r>
        <w:rPr>
          <w:rFonts w:ascii="Times New Roman" w:hAnsi="Times New Roman"/>
          <w:color w:val="000000"/>
          <w:sz w:val="22"/>
        </w:rPr>
        <w:t xml:space="preserve">hereof, the Investor shall have the right, from time to time as the Investor may reasonably deem appropriate, and upon reasonable advance notice to the Company, to perform reasonable due diligence on the Company during normal business hours. The Company and its officers and employees shall provide information and reasonably cooperate with the Investor in connection with any reasonable request by the Investor related to the Investor’s due diligence of the Company; </w:t>
      </w:r>
      <w:r>
        <w:rPr>
          <w:rFonts w:ascii="Times New Roman" w:hAnsi="Times New Roman"/>
          <w:i/>
          <w:color w:val="000000"/>
          <w:sz w:val="22"/>
        </w:rPr>
        <w:t xml:space="preserve">provided however, </w:t>
      </w:r>
      <w:r>
        <w:rPr>
          <w:rFonts w:ascii="Times New Roman" w:hAnsi="Times New Roman"/>
          <w:color w:val="000000"/>
          <w:sz w:val="22"/>
        </w:rPr>
        <w:t>that the Company will not disclose any material non-public information to the Investor. Each party hereto agrees not to disclose any Confidential Information (which shall not include material non-public information) of the other party to any third party and shall not use the Confidential Information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 The</w:t>
      </w:r>
      <w:r>
        <w:rPr>
          <w:color w:val="000000"/>
        </w:rPr>
        <w:t xml:space="preserve"> </w:t>
      </w:r>
      <w:r>
        <w:rPr>
          <w:rFonts w:ascii="Times New Roman" w:hAnsi="Times New Roman"/>
          <w:color w:val="000000"/>
          <w:sz w:val="22"/>
        </w:rPr>
        <w:t xml:space="preserve">receiving party may disclose Confidential Information to the extent such information is required to be disclosed by law, regulation or order of a court of competent jurisdiction or regulatory authority, provided that the receiving party shall promptly notify the disclosing party when such requirement to disclose arises, and shall cooperate with the disclosing party so as to enable the disclosing party to: (i) seek an appropriate protective order; and (ii) make any applicable claim of confidentiality in respect of such Confidential Information; and provided, further, that the receiving party shall disclose Confidential Information only to the extent required by the protective order or other similar order, if such an order is obtained, and, if no such order is obtained, the receiving party shall disclose only the minimum amount of such Confidential Information required to be disclosed in order to comply with the applicable law, regulation or order. In addition, any such Confidential Information disclosed pursuant to this </w:t>
      </w:r>
      <w:r>
        <w:rPr>
          <w:rFonts w:ascii="Times New Roman" w:hAnsi="Times New Roman"/>
          <w:color w:val="000000"/>
          <w:sz w:val="22"/>
          <w:u w:val="single"/>
        </w:rPr>
        <w:t>Section 5(f)</w:t>
      </w:r>
      <w:r>
        <w:rPr>
          <w:color w:val="000000"/>
        </w:rPr>
        <w:t xml:space="preserve"> </w:t>
      </w:r>
      <w:r>
        <w:rPr>
          <w:rFonts w:ascii="Times New Roman" w:hAnsi="Times New Roman"/>
          <w:color w:val="000000"/>
          <w:sz w:val="22"/>
        </w:rPr>
        <w:t xml:space="preserve">shall continue to be deemed Confidential Information. Notwithstanding anything in this Agreement to the contrary, the Company and the Investor agree that neither the Company nor any other Person acting on its behalf shall provide the Investor or its agents or counsel with any information that constitutes material, non-public information, unless a simultaneous public announcement thereof is made by the Company in the manner contemplated by Regulation FD under the Exchange Act. In the event of a breach of the foregoing covenant by the Company or any Person acting on its behalf (as determined in the reasonable good faith judgment of the Investor), in addition to any other remedy provided herein or in the other Transaction Documents, if the Investor is holding any Securities at the time of the disclosure of such material non-public information, the Investor shall have the right to make a public disclosure, in the form of a press release, public advertisement or otherwise, of such material, non-public information without receiving the prior approval by the Company; provided the Investor shall have first provided notice to the Company that it believes, based on the advice of external counsel, it has received information that constitutes material, non-public information, the Company shall have at least two (2) Business Days from such notice to either publicly disclose such material, non-public information or to demonstrate to the Investor that such information does not constitute material, non-public information prior to any such disclosure by the Investor. The Investor shall not have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any liability to the Company, or any of its directors, officers, employees, stockholders or agents, for any such disclosure made in compliance with this </w:t>
      </w:r>
      <w:r>
        <w:rPr>
          <w:rFonts w:ascii="Times New Roman" w:hAnsi="Times New Roman"/>
          <w:color w:val="000000"/>
          <w:sz w:val="22"/>
          <w:u w:val="single"/>
        </w:rPr>
        <w:t>Section 5(f)</w:t>
      </w:r>
      <w:r>
        <w:rPr>
          <w:rFonts w:ascii="Times New Roman" w:hAnsi="Times New Roman"/>
          <w:color w:val="000000"/>
          <w:sz w:val="22"/>
        </w:rPr>
        <w:t>. The Company understands and confirms that the Investor shall be relying on the foregoing covenants in effecting transactions in securities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Purchase Records</w:t>
      </w:r>
      <w:r>
        <w:rPr>
          <w:rFonts w:ascii="Times New Roman" w:hAnsi="Times New Roman"/>
          <w:color w:val="000000"/>
          <w:sz w:val="22"/>
        </w:rPr>
        <w:t xml:space="preserve">. The Investor and the Company shall each maintain records showing the remaining Available Amount at any given time and the dates and Purchase Amounts for each Regular Purchase, Accelerated Purchase and Additional Accelerated Purchase or shall use such other method, reasonably satisfactory to the Investor and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Taxes</w:t>
      </w:r>
      <w:r>
        <w:rPr>
          <w:rFonts w:ascii="Times New Roman" w:hAnsi="Times New Roman"/>
          <w:color w:val="000000"/>
          <w:sz w:val="22"/>
        </w:rPr>
        <w:t>. The Company shall pay any and all transfer, stamp or similar taxes that may be payable with respect to the issuance and delivery of any shares of Common Stock to the Investor made under this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No Aggregation</w:t>
      </w:r>
      <w:r>
        <w:rPr>
          <w:rFonts w:ascii="Times New Roman" w:hAnsi="Times New Roman"/>
          <w:color w:val="000000"/>
          <w:sz w:val="22"/>
        </w:rPr>
        <w:t>. From and after the date of this Agreement, neither the Company, nor any of its affiliates will, and the Company shall use its reasonable best efforts to ensure that no Person acting on their behalf will, directly or indirectly, make any offers or sales of any security or solicit any offers to buy any security, under circumstances that would cause this offering of the Securities by the Company to the Investor to be aggregated with other offerings by the Company in a manner that would require stockholder approval pursuant to the rules of the Principal Market on which any of the securities of the Company are listed or designated unless stockholder approval is obtained before the closing of such subsequent transaction in accordance with the rules of such Principal Market.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Use of Proceeds</w:t>
      </w:r>
      <w:r>
        <w:rPr>
          <w:rFonts w:ascii="Times New Roman" w:hAnsi="Times New Roman"/>
          <w:color w:val="000000"/>
          <w:sz w:val="22"/>
        </w:rPr>
        <w:t>. The Company will use the net proceeds from the offering for any corporate purpose at the sole discretion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Other Transactions</w:t>
      </w:r>
      <w:r>
        <w:rPr>
          <w:rFonts w:ascii="Times New Roman" w:hAnsi="Times New Roman"/>
          <w:color w:val="000000"/>
          <w:sz w:val="22"/>
        </w:rPr>
        <w:t>. During the term of this Agreement,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including, without limitation, the obligation of the Company to deliver the Securities to the Investor in accordance with the terms of the Transaction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No Integration</w:t>
      </w:r>
      <w:r>
        <w:rPr>
          <w:rFonts w:ascii="Times New Roman" w:hAnsi="Times New Roman"/>
          <w:color w:val="000000"/>
          <w:sz w:val="22"/>
        </w:rPr>
        <w:t>. From and after the date of this Agreement, neither the Company, nor or any of its affiliates will, and the Company shall use its reasonable best efforts to ensure that no Person acting on their behalf will, directly or indirectly, make any offers or sales of any security or solicit any offers to buy any security, under circumstances that would require registration of the offer and sale of any of the Securities under the Securities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Limitation on Variable Rate Transactions.</w:t>
      </w:r>
      <w:r>
        <w:rPr>
          <w:color w:val="000000"/>
        </w:rPr>
        <w:t xml:space="preserve"> </w:t>
      </w:r>
      <w:r>
        <w:rPr>
          <w:rFonts w:ascii="Times New Roman" w:hAnsi="Times New Roman"/>
          <w:color w:val="000000"/>
          <w:sz w:val="22"/>
        </w:rPr>
        <w:t>From and after the Commencement Date until the twenty-four (24) month anniversary of the Commencement Date of this Agreement (irrespective of any earlier termination of this Agreement), the Company shall be prohibited from effecting or entering into an agreement to effect any issuance by the Company or any of its Subsidiaries of Common Stock involving a Variable Rate Transaction other than with the Investor. “</w:t>
      </w:r>
      <w:r>
        <w:rPr>
          <w:rFonts w:ascii="Times New Roman" w:hAnsi="Times New Roman"/>
          <w:color w:val="000000"/>
          <w:sz w:val="22"/>
          <w:u w:val="single"/>
        </w:rPr>
        <w:t>Variable Rate Transaction</w:t>
      </w:r>
      <w:r>
        <w:rPr>
          <w:color w:val="000000"/>
        </w:rPr>
        <w:t xml:space="preserve">” </w:t>
      </w:r>
      <w:r>
        <w:rPr>
          <w:rFonts w:ascii="Times New Roman" w:hAnsi="Times New Roman"/>
          <w:color w:val="000000"/>
          <w:sz w:val="22"/>
        </w:rPr>
        <w:t xml:space="preserve">means an “equity line of credit” or substantially similar transaction whereby an investor is irrevocably bound to purchase securities over a period of time from the Company at a price based on the market price of the Company’s Common Stock at the time of each such purchase, provided, however, that for the avoidance of doubt, this </w:t>
      </w:r>
      <w:r>
        <w:rPr>
          <w:rFonts w:ascii="Times New Roman" w:hAnsi="Times New Roman"/>
          <w:color w:val="000000"/>
          <w:sz w:val="22"/>
          <w:u w:val="single"/>
        </w:rPr>
        <w:t>Section 5(m)</w:t>
      </w:r>
      <w:r>
        <w:rPr>
          <w:color w:val="000000"/>
        </w:rPr>
        <w:t xml:space="preserve"> </w:t>
      </w:r>
      <w:r>
        <w:rPr>
          <w:rFonts w:ascii="Times New Roman" w:hAnsi="Times New Roman"/>
          <w:color w:val="000000"/>
          <w:sz w:val="22"/>
        </w:rPr>
        <w:t xml:space="preserve">shall not be deemed to prohibit (i) the issuance and sale of Common Stock pursuant to an “at-the-market offering” by the Company exclusively through one or more registered broker-dealers acting as agent of the Company pursuant to a written agreement between the Company and such registered broker-dealers, or (ii) any other transaction that is not a Variable Rate Transaction.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Publicity</w:t>
      </w:r>
      <w:r>
        <w:rPr>
          <w:rFonts w:ascii="Times New Roman" w:hAnsi="Times New Roman"/>
          <w:color w:val="000000"/>
          <w:sz w:val="22"/>
        </w:rPr>
        <w:t xml:space="preserve">. The Company shall afford the Investor and its counsel with the opportunity to review and comment upon, shall consult with the Investor and its counsel on the form and substance of, and shall give due consideration to all such comments from the Investor or its counsel on, disclosure that is part of any press release, SEC filing or any other public disclosure by or on behalf of the Company that identifies the Investor, describes its purchases hereunder or summarizes any aspect of the Transaction Documents or the transactions contemplated thereby, not less than twenty-four (24) hours prior to the issuance, filing or public disclosure thereof; </w:t>
      </w:r>
      <w:r>
        <w:rPr>
          <w:rFonts w:ascii="Times New Roman" w:hAnsi="Times New Roman"/>
          <w:color w:val="000000"/>
          <w:sz w:val="22"/>
          <w:u w:val="single"/>
        </w:rPr>
        <w:t>provided</w:t>
      </w:r>
      <w:r>
        <w:rPr>
          <w:color w:val="000000"/>
        </w:rPr>
        <w:t xml:space="preserve"> </w:t>
      </w:r>
      <w:r>
        <w:rPr>
          <w:rFonts w:ascii="Times New Roman" w:hAnsi="Times New Roman"/>
          <w:color w:val="000000"/>
          <w:sz w:val="22"/>
        </w:rPr>
        <w:t>that (i) the Company shall not be required to provide to the Investor any press release, SEC filing or any other public disclosure that solely discloses the number of shares sold to the Investor and the amounts paid by the Investor for such shares and (ii) the Company shall not be required to provide to the Investor any disclosures that are materially similar to those previously reviewed by the Investor. The Investor must be provided with a substantially final version of any such disclosure that relates to the Investor, at least twenty-four (24) hours prior to any release, filing or use by the Company thereof.</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6.</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TRANSFER AGENT INSTRUCTIONS.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On the date of this Agreement, the Company shall issue irrevocable instructions to the Transfer Agent, in the form substantially similar to those used by the Investor in substantially similar transactions, to issue the Commitment Shares in accordance with the terms of this Agreement (the “</w:t>
      </w:r>
      <w:r>
        <w:rPr>
          <w:rFonts w:ascii="Times New Roman" w:hAnsi="Times New Roman"/>
          <w:color w:val="000000"/>
          <w:sz w:val="22"/>
          <w:u w:val="single"/>
        </w:rPr>
        <w:t>Irrevocable Transfer Agent Instructions</w:t>
      </w:r>
      <w:r>
        <w:rPr>
          <w:color w:val="000000"/>
        </w:rPr>
        <w:t>”</w:t>
      </w:r>
      <w:r>
        <w:rPr>
          <w:rFonts w:ascii="Times New Roman" w:hAnsi="Times New Roman"/>
          <w:color w:val="000000"/>
          <w:sz w:val="22"/>
        </w:rPr>
        <w:t>). The certificate(s) or book-entry statement(s) representing the Commitment Shares, except as set forth below, shall bear the following restrictive legend (the “</w:t>
      </w:r>
      <w:r>
        <w:rPr>
          <w:rFonts w:ascii="Times New Roman" w:hAnsi="Times New Roman"/>
          <w:color w:val="000000"/>
          <w:sz w:val="22"/>
          <w:u w:val="single"/>
        </w:rPr>
        <w:t>Restrictive Legend</w:t>
      </w:r>
      <w:r>
        <w:rPr>
          <w:color w:val="000000"/>
        </w:rPr>
        <w:t>”</w:t>
      </w:r>
      <w:r>
        <w:rPr>
          <w:rFonts w:ascii="Times New Roman" w:hAnsi="Times New Roman"/>
          <w:color w:val="000000"/>
          <w:sz w:val="22"/>
        </w:rPr>
        <w:t>) and no other legend whatsoever.</w:t>
      </w:r>
    </w:p>
    <w:p>
      <w:pPr>
        <w:pStyle w:val="TextBody"/>
        <w:bidi w:val="0"/>
        <w:spacing w:before="0" w:after="120"/>
        <w:jc w:val="both"/>
        <w:rPr>
          <w:rFonts w:ascii="Times New Roman" w:hAnsi="Times New Roman"/>
          <w:sz w:val="20"/>
        </w:rPr>
      </w:pPr>
      <w:r>
        <w:rPr>
          <w:rFonts w:ascii="Times New Roman" w:hAnsi="Times New Roman"/>
          <w:b/>
          <w:color w:val="000000"/>
          <w:sz w:val="22"/>
        </w:rPr>
        <w:t>THE SECURITIES REPRESENTED BY THIS CERTIFICATE HAVE NOT BEEN REGISTERED UNDER THE SECURITIES ACT OF 1933</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AS AMENDED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OR APPLICABLE STATE SECURITIES LAWS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THE SECURITIES HAVE BEEN ACQUIRED FOR INVESTMENT AND MAY NOT BE OFFERED FOR SALE</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SOLD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TRANSFERRED OR ASSIGNED IN THE ABSENCE OF AN EFFECTIVE REGISTRATION STATEMENT FOR THE SECURITIES UNDER THE SECURITIES ACT OF 1933</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AS AMENDED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OR APPLICABLE STATE SECURITIES LAWS</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 xml:space="preserve">UNLESS SOLD PURSUANT TO: </w:t>
      </w:r>
      <w:r>
        <w:rPr>
          <w:rFonts w:ascii="Times New Roman" w:hAnsi="Times New Roman"/>
          <w:color w:val="000000"/>
          <w:sz w:val="22"/>
        </w:rPr>
        <w:t>(</w:t>
      </w:r>
      <w:r>
        <w:rPr>
          <w:rFonts w:ascii="Times New Roman" w:hAnsi="Times New Roman"/>
          <w:b/>
          <w:color w:val="000000"/>
          <w:sz w:val="22"/>
        </w:rPr>
        <w:t>1</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RULE 144 UNDER THE SECURITIES ACT OF 1933</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AS AMENDED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 xml:space="preserve">OR </w:t>
      </w:r>
      <w:r>
        <w:rPr>
          <w:rFonts w:ascii="Times New Roman" w:hAnsi="Times New Roman"/>
          <w:color w:val="000000"/>
          <w:sz w:val="22"/>
        </w:rPr>
        <w:t>(</w:t>
      </w:r>
      <w:r>
        <w:rPr>
          <w:rFonts w:ascii="Times New Roman" w:hAnsi="Times New Roman"/>
          <w:b/>
          <w:color w:val="000000"/>
          <w:sz w:val="22"/>
        </w:rPr>
        <w:t>2</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AN OPINION OF COMPANY COUNSEL</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IN A CUSTOMARY FORM</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THAT REGISTRATION IS NOT REQUIRED UNDER SAID ACT OR APPLICABLE STATE SECURITIES LAWS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 the earlier of (i) the date the Registration Statement is declared effective by the SEC and (ii) such time that the Investor shall request, provided all conditions of Rule 144 under the Securities Act are met, the Company shall, no later than two (2) Business Days following the delivery by the Investor to the Company or the Transfer Agent of one or more legended certificates or book-entry statements representing the Commitment Shares (which certificates or book-entry statements the Investor shall promptly deliver on or prior to the first to occur of the events described in clauses (i) and (ii) of this sentence), as directed by the Investor, issue and deliver (or cause to be issued and delivered) to the Investor, as requested by the Investor, either: (A) a certificate or book-entry statement representing such Commitment Shares that is free from all restrictive and other legends or (B) a number of shares of Common Stock equal to the number of Commitment Shares represented by the certificate(s) or book-entry statement(s) so delivered by the Investor as DWAC Shares. The Company shall take all actions reasonably necessary to carry out the intent and accomplish the purposes of the immediately preceding sentence, including, without limitation, delivering all such legal opinions, consents, certificates, resolutions and instructions to the Transfer Agent, and any successor transfer agent of the Company, as may be reasonably requested from time to time by the Investor or necessary or desirable to carry out the intent and accomplish the purposes of the immediately preceding sentence. On or before the Commencement Date, the Company shall issue to the Transfer Agent, and any subsequent transfer agent, (i) irrevocable instructions in the form substantially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similar to those used by the Investor in substantially similar transactions (the “</w:t>
      </w:r>
      <w:r>
        <w:rPr>
          <w:rFonts w:ascii="Times New Roman" w:hAnsi="Times New Roman"/>
          <w:color w:val="000000"/>
          <w:sz w:val="22"/>
          <w:u w:val="single"/>
        </w:rPr>
        <w:t>Commencement Irrevocable Transfer Agent Instructions</w:t>
      </w:r>
      <w:r>
        <w:rPr>
          <w:color w:val="000000"/>
        </w:rPr>
        <w:t>”</w:t>
      </w:r>
      <w:r>
        <w:rPr>
          <w:rFonts w:ascii="Times New Roman" w:hAnsi="Times New Roman"/>
          <w:color w:val="000000"/>
          <w:sz w:val="22"/>
        </w:rPr>
        <w:t>) and (ii) the notice of effectiveness of the Registration Statement in a form acceptable to the Transfer Agent (the “</w:t>
      </w:r>
      <w:r>
        <w:rPr>
          <w:rFonts w:ascii="Times New Roman" w:hAnsi="Times New Roman"/>
          <w:color w:val="000000"/>
          <w:sz w:val="22"/>
          <w:u w:val="single"/>
        </w:rPr>
        <w:t>Notice of Effectiveness of Registration Statement</w:t>
      </w:r>
      <w:r>
        <w:rPr>
          <w:color w:val="000000"/>
        </w:rPr>
        <w:t>”</w:t>
      </w:r>
      <w:r>
        <w:rPr>
          <w:rFonts w:ascii="Times New Roman" w:hAnsi="Times New Roman"/>
          <w:color w:val="000000"/>
          <w:sz w:val="22"/>
        </w:rPr>
        <w:t xml:space="preserve">), in each case to issue the Securities in accordance with the terms of this Agreement and the Registration Rights Agreement. All Purchase Shares to be issued from and after the Commencement Date to the Investor pursuant to this Agreement shall be issued only as DWAC Shares. The Company represents and warrants to the Investor that, while this Agreement is effective, no instruction other than the Commencement Irrevocable Transfer Agent Instructions and the Notice of Effectiveness of Registration Statement referred to in this </w:t>
      </w:r>
      <w:r>
        <w:rPr>
          <w:rFonts w:ascii="Times New Roman" w:hAnsi="Times New Roman"/>
          <w:color w:val="000000"/>
          <w:sz w:val="22"/>
          <w:u w:val="single"/>
        </w:rPr>
        <w:t>Section 6(b)</w:t>
      </w:r>
      <w:r>
        <w:rPr>
          <w:color w:val="000000"/>
        </w:rPr>
        <w:t xml:space="preserve"> </w:t>
      </w:r>
      <w:r>
        <w:rPr>
          <w:rFonts w:ascii="Times New Roman" w:hAnsi="Times New Roman"/>
          <w:color w:val="000000"/>
          <w:sz w:val="22"/>
        </w:rPr>
        <w:t xml:space="preserve">will be given by the Company to the Transfer Agent with respect to the Commitment Shares, or any of the Purchase Shares covered by the Registration Statement from and after Commencement, and the Commitment Shares and the Purchase Shares covered by the Registration Statement shall otherwise be freely transferable on the books and records of the Company. The Company agrees that if the Company fails to fully comply with the provisions of this </w:t>
      </w:r>
      <w:r>
        <w:rPr>
          <w:rFonts w:ascii="Times New Roman" w:hAnsi="Times New Roman"/>
          <w:color w:val="000000"/>
          <w:sz w:val="22"/>
          <w:u w:val="single"/>
        </w:rPr>
        <w:t>Section 6(b)</w:t>
      </w:r>
      <w:r>
        <w:rPr>
          <w:color w:val="000000"/>
        </w:rPr>
        <w:t xml:space="preserve"> </w:t>
      </w:r>
      <w:r>
        <w:rPr>
          <w:rFonts w:ascii="Times New Roman" w:hAnsi="Times New Roman"/>
          <w:color w:val="000000"/>
          <w:sz w:val="22"/>
        </w:rPr>
        <w:t>within five (5) Business Days of the Investor providing the deliveries referred to above, the Company shall, at the Investor’s written instruction, purchase such shares of Common Stock containing the Restrictive Legend from the Investor at the greater of the (i) purchase price paid by the Investor for such shares of Common Stock and (ii) the Closing Sale Price of the Common Stock on the date of the Investor’s written instruction.</w:t>
      </w:r>
    </w:p>
    <w:p>
      <w:pPr>
        <w:pStyle w:val="TextBody"/>
        <w:bidi w:val="0"/>
        <w:spacing w:before="0" w:after="0"/>
        <w:jc w:val="left"/>
        <w:rPr>
          <w:rFonts w:ascii="Times New Roman" w:hAnsi="Times New Roman"/>
          <w:b/>
          <w:color w:val="000000"/>
          <w:sz w:val="22"/>
        </w:rPr>
      </w:pPr>
      <w:r>
        <w:rPr>
          <w:rFonts w:ascii="Times New Roman" w:hAnsi="Times New Roman"/>
          <w:b/>
          <w:color w:val="000000"/>
          <w:sz w:val="22"/>
        </w:rPr>
        <w:t>7.</w:t>
      </w:r>
    </w:p>
    <w:p>
      <w:pPr>
        <w:pStyle w:val="TextBody"/>
        <w:bidi w:val="0"/>
        <w:jc w:val="left"/>
        <w:rPr>
          <w:rFonts w:ascii="Times New Roman" w:hAnsi="Times New Roman"/>
          <w:b/>
          <w:color w:val="000000"/>
          <w:sz w:val="22"/>
        </w:rPr>
      </w:pPr>
      <w:r>
        <w:rPr>
          <w:rFonts w:ascii="Times New Roman" w:hAnsi="Times New Roman"/>
          <w:b/>
          <w:color w:val="000000"/>
          <w:sz w:val="22"/>
        </w:rPr>
        <w:t>CONDITIONS TO THE COMPANY’S RIGHT TO COMMENCE</w:t>
      </w:r>
    </w:p>
    <w:p>
      <w:pPr>
        <w:pStyle w:val="TextBody"/>
        <w:bidi w:val="0"/>
        <w:spacing w:before="0" w:after="240"/>
        <w:jc w:val="both"/>
        <w:rPr>
          <w:rFonts w:ascii="Times New Roman" w:hAnsi="Times New Roman"/>
          <w:sz w:val="20"/>
        </w:rPr>
      </w:pPr>
      <w:r>
        <w:rPr>
          <w:rFonts w:ascii="Times New Roman" w:hAnsi="Times New Roman"/>
          <w:b/>
          <w:color w:val="000000"/>
          <w:sz w:val="22"/>
        </w:rPr>
        <w:t>SALES OF SHARES OF COMMON STOCK</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right of the Company hereunder to commence sales of the Purchase Shares on the Commencement Date is subject to the satisfaction or, where legally permissible, the waiver of each of the following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Investor shall have executed each of the Transaction Documents and delivered the same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Registration Statement covering the resale of all of such Purchase Shares as required pursuant to the Registration Rights Agreement shall have been declared effective under the Securities Act by the SEC and no stop order with respect to the Registration Statement shall be pending or, to the Company’s knowledge, threatened by the SEC;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Common Stock shall be listed on the Principal Market, and all Securities to be issued by the Company to the Investor under the Transaction Documents shall have been approved for listing on the Principal Market in accordance with the applicable rules and regulations of the Principal Market, subject only to official notice of issuance;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The representations and warranties of the Investor shall be true and correct in all material respects (except to the extent that any of such representations and warranties is already qualified as to materiality in </w:t>
      </w:r>
      <w:r>
        <w:rPr>
          <w:rFonts w:ascii="Times New Roman" w:hAnsi="Times New Roman"/>
          <w:color w:val="000000"/>
          <w:sz w:val="22"/>
          <w:u w:val="single"/>
        </w:rPr>
        <w:t>Section 3</w:t>
      </w:r>
      <w:r>
        <w:rPr>
          <w:color w:val="000000"/>
        </w:rPr>
        <w:t xml:space="preserve"> </w:t>
      </w:r>
      <w:r>
        <w:rPr>
          <w:rFonts w:ascii="Times New Roman" w:hAnsi="Times New Roman"/>
          <w:color w:val="000000"/>
          <w:sz w:val="22"/>
        </w:rPr>
        <w:t>above, in which case, such representations and warranties shall be true and correct without further qualification) as of the date hereof and as of the Commencement Date as though made at that time.</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8.</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CONDITIONS TO THE INVESTOR’S OBLIGATION TO PURCHASE SHARES OF COMMON STOCK.</w:t>
      </w:r>
    </w:p>
    <w:p>
      <w:pPr>
        <w:pStyle w:val="TextBody"/>
        <w:bidi w:val="0"/>
        <w:spacing w:before="0" w:after="240"/>
        <w:jc w:val="both"/>
        <w:rPr>
          <w:rFonts w:ascii="Times New Roman" w:hAnsi="Times New Roman"/>
          <w:sz w:val="20"/>
        </w:rPr>
      </w:pPr>
      <w:r>
        <w:rPr>
          <w:rFonts w:ascii="Times New Roman" w:hAnsi="Times New Roman"/>
          <w:color w:val="000000"/>
          <w:sz w:val="22"/>
        </w:rPr>
        <w:t>The obligation of the Investor to buy Purchase Shares (other than the Commitment Shares) under this Agreement is subject to the satisfaction or, where legally permissible, the waiver of each of the following conditions on or prior to the Commencement Date and, once such conditions have been initially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satisfied, there shall not be any ongoing obligation to satisfy such conditions after the Commencement has occurred: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have executed each of the Transaction Documents and delivered the same to the Investor;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Investor shall have received the opinions and negative assurance letter of the Company’s corporate legal counsel (the “</w:t>
      </w:r>
      <w:r>
        <w:rPr>
          <w:rFonts w:ascii="Times New Roman" w:hAnsi="Times New Roman"/>
          <w:color w:val="000000"/>
          <w:sz w:val="22"/>
          <w:u w:val="single"/>
        </w:rPr>
        <w:t>Company Counsel</w:t>
      </w:r>
      <w:r>
        <w:rPr>
          <w:color w:val="000000"/>
        </w:rPr>
        <w:t>”</w:t>
      </w:r>
      <w:r>
        <w:rPr>
          <w:rFonts w:ascii="Times New Roman" w:hAnsi="Times New Roman"/>
          <w:color w:val="000000"/>
          <w:sz w:val="22"/>
        </w:rPr>
        <w:t>) dated as of the Commencement Date substantially in the form agreed to prior to the date of this Agreement by the Company Counsel and the Investor’s legal counsel;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 xml:space="preserve">The representations and warranties of the Company shall be true and correct (except to the extent that any of such representations and warranties is already qualified as to materiality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 xml:space="preserve">above, in which case, such representations and warranties shall be true and correct without further qualification) as of the date when made and as of the Commencement Date as though made at that time (except for representations and warranties that speak as of a specific date, which shall be true and correct in all material respects as of such date) and the Company shall have performed, satisfied and complied with the covenants, agreements and conditions required by the Transaction Documents to be performed, satisfied or complied with by the Company at or prior to the Commencement Date. The Investor shall have received a certificate, executed by the Chief Executive Officer or the Chief Financial Officer of the Company, dated as of the Commencement Date, to the foregoing effect in the form attached hereto as </w:t>
      </w:r>
      <w:r>
        <w:rPr>
          <w:rFonts w:ascii="Times New Roman" w:hAnsi="Times New Roman"/>
          <w:b/>
          <w:color w:val="000000"/>
          <w:sz w:val="22"/>
          <w:u w:val="single"/>
        </w:rPr>
        <w:t>Exhibit A</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Board of Directors of the Company shall have adopted the Signing Resolutions, substantially in the form agreed to prior to the date of this Agreement by the Company Counsel and the Investor’s legal counsel, to authorize this Agreement and the transactions contemplated hereby, which shall be in full force and effect without any amendment or supplement thereto as of the Commencement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As of the Commencement Date, the Company shall have reserved out of its authorized and unissued Common Stock, solely for the purpose of effecting purchases of Purchase Shares hereunder, Five Million (5,000,000) shares of Common Stock (excluding the Commitment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Commencement Irrevocable Transfer Agent Instructions and the Notice of Effectiveness of Registration Statement each shall have been delivered to and acknowledged in writing by the Company and the Company’s Transfer Agent (or any successor transfer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have delivered to the Investor a certificate evidencing the incorporation and good standing of the Company in the State of Delaware issued by the Secretary of State of the State of Delaware as of a date within ten (10) Business Days of the Commencement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shall have delivered to the Investor a certified copy of the Certificate of Incorporation as certified by the Secretary of State of the State of Delaware within ten (10) Business Days of the Commencement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 xml:space="preserve">The Company shall have delivered to the Investor a secretary’s certificate executed by the Secretary of the Company, dated as of the Commencement Date, in the form attached hereto as </w:t>
      </w:r>
      <w:r>
        <w:rPr>
          <w:rFonts w:ascii="Times New Roman" w:hAnsi="Times New Roman"/>
          <w:b/>
          <w:color w:val="000000"/>
          <w:sz w:val="22"/>
          <w:u w:val="single"/>
        </w:rPr>
        <w:t>Exhibit 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Registration Statement covering the resale of the Securities in accordance with the Registration Rights Agreement shall have been declared effective under the Securities Act by the SEC and no stop order with respect to the Registration Statement shall be pending or, to the Company’s knowledge, threatened by the SEC. If required, the Company shall have prepared and filed with the SEC, not later than two (2) Business Days after the effective date of the Registration Statement, a final prospectus (the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preliminary form of which shall be included in the Registration Statement) and shall have delivered to the Investor a true and complete copy thereof (the filing of the final and complete prospectus on the Electronic Data Gathering, Analysis and Retrieval system (EDGAR) of the SEC satisfies the delivery requirement with respect to such document). When filed, such prospectus shall be current and available for the resale by the Investor of all of the Securities covered thereby. The Current Report shall have been filed with the SEC, as required pursuant to </w:t>
      </w:r>
      <w:r>
        <w:rPr>
          <w:rFonts w:ascii="Times New Roman" w:hAnsi="Times New Roman"/>
          <w:color w:val="000000"/>
          <w:sz w:val="22"/>
          <w:u w:val="single"/>
        </w:rPr>
        <w:t>Section 5(a)</w:t>
      </w:r>
      <w:r>
        <w:rPr>
          <w:color w:val="000000"/>
        </w:rPr>
        <w:t xml:space="preserve"> </w:t>
      </w:r>
      <w:r>
        <w:rPr>
          <w:rFonts w:ascii="Times New Roman" w:hAnsi="Times New Roman"/>
          <w:color w:val="000000"/>
          <w:sz w:val="22"/>
        </w:rPr>
        <w:t>hereof, all reports, schedules, registrations, forms, statements, information and other documents required to have been filed by the Company with the SEC at or during the 12 month period immediately prior to the Commencement Date pursuant to the reporting requirements of the Exchange Act shall have been filed with the SEC within the applicable time periods prescribed for such filings under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Suspension Event (as defined below) has occurred, and no event which, after notice and/or lapse of time, would become a Suspension Event has occurred;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 statute, regulation, order, decree, writ, ruling or injunction shall have been enacted, entered, promulgated, threatened or endorsed by any federal, state, local or foreign court or governmental authority of competent jurisdiction which prohibits the consummation of or which would materially modify or delay any of the transactions contemplated by the Transaction Documents;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action, suit or proceeding before any federal, state, local or foreign arbitrator or any court or governmental authority of competent jurisdiction shall have been commenced or threatened, and no inquiry or investigation by any federal, state, local or foreign governmental authority of competent jurisdiction shall have been commenced or threatened, against the Company, or any of the officers, directors or affiliates of the Company, seeking to restrain, prevent or change the transactions contemplated by the Transaction Documents, or seeking material damages in connection with such transactions;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federal, state and local governmental laws, rules and regulations applicable to the transactions contemplated by the Transaction Documents and necessary for the execution, delivery and performance of the Transaction Documents and the consummation of the transactions contemplated thereby in accordance with the terms thereof shall have been complied with, and all consents, authorizations and orders of, and all filings and registrations with, all federal, state and local courts or governmental agencies and all federal, state and local regulatory or self-regulatory agencies necessary for the execution, delivery and performance of the Transaction Documents and the consummation of the transactions contemplated thereby in accordance with the terms thereof shall have been obtained or made, including, without limitation, in each case those required under the Securities Act, the Exchange Act, applicable state securities or “Blue Sky” laws or applicable rules and regulations of the Principal Market, or otherwise required by the SEC, the Principal Market or any state securities regulators.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9.</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INDEMNIFICATION. </w:t>
      </w:r>
    </w:p>
    <w:p>
      <w:pPr>
        <w:pStyle w:val="TextBody"/>
        <w:bidi w:val="0"/>
        <w:jc w:val="both"/>
        <w:rPr>
          <w:rFonts w:ascii="Times New Roman" w:hAnsi="Times New Roman"/>
          <w:sz w:val="20"/>
        </w:rPr>
      </w:pPr>
      <w:r>
        <w:rPr>
          <w:rFonts w:ascii="Times New Roman" w:hAnsi="Times New Roman"/>
          <w:color w:val="000000"/>
          <w:sz w:val="22"/>
        </w:rPr>
        <w:t>In consideration of the Investor’s execution and delivery of the Transaction Documents and acquiring the Securities hereunder and in addition to all of the Company’s other obligations under the Transaction Documents, the Company shall defend, protect, indemnify and hold harmless the Investor and all of its affiliates, officers, directors, members, managers,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hAnsi="Times New Roman"/>
          <w:color w:val="000000"/>
          <w:sz w:val="22"/>
          <w:u w:val="single"/>
        </w:rPr>
        <w:t>Indemnitees</w:t>
      </w:r>
      <w:r>
        <w:rPr>
          <w:rFonts w:ascii="Times New Roman" w:hAnsi="Times New Roman"/>
          <w:color w:val="000000"/>
          <w:sz w:val="20"/>
        </w:rPr>
        <w:t>”</w:t>
      </w:r>
      <w:r>
        <w:rPr>
          <w:rFonts w:ascii="Times New Roman" w:hAnsi="Times New Roman"/>
          <w:color w:val="000000"/>
          <w:sz w:val="22"/>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hAnsi="Times New Roman"/>
          <w:color w:val="000000"/>
          <w:sz w:val="22"/>
          <w:u w:val="single"/>
        </w:rPr>
        <w:t>Indemnified Liabilities</w:t>
      </w:r>
      <w:r>
        <w:rPr>
          <w:rFonts w:ascii="Times New Roman" w:hAnsi="Times New Roman"/>
          <w:color w:val="000000"/>
          <w:sz w:val="20"/>
        </w:rPr>
        <w:t>”</w:t>
      </w:r>
      <w:r>
        <w:rPr>
          <w:rFonts w:ascii="Times New Roman" w:hAnsi="Times New Roman"/>
          <w:color w:val="000000"/>
          <w:sz w:val="22"/>
        </w:rPr>
        <w:t>), incurred by any Indemnitee as a result of, or arising out of or relating to: (a) any misrepresentation or breach of any representation or warranty made by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in the Transaction Documents or any other certificate, instrument or document executed by the Company contemplated hereby or thereby, (b) any breach of any covenant, agreement or obligation of the Company contained in the Transaction Documents or any other certificate, instrument or document executed by the Company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in the case of </w:t>
      </w:r>
      <w:r>
        <w:rPr>
          <w:rFonts w:ascii="Times New Roman" w:hAnsi="Times New Roman"/>
          <w:color w:val="000000"/>
          <w:sz w:val="22"/>
          <w:u w:val="single"/>
        </w:rPr>
        <w:t>clause (c)</w:t>
      </w:r>
      <w:r>
        <w:rPr>
          <w:rFonts w:ascii="Times New Roman" w:hAnsi="Times New Roman"/>
          <w:color w:val="000000"/>
          <w:sz w:val="22"/>
        </w:rPr>
        <w:t xml:space="preserve">, with respect to Indemnified Liabilities which directly and primarily result from the fraud, gross negligence or willful misconduct of an Indemnitee. The indemnity in this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shall not apply to amounts paid in settlement of any claim if such settlement is effected without the prior written consent of the Company, which consent shall not be unreasonably withheld, conditioned or delayed. To the extent that the foregoing undertaking by the Company may be unenforceable for any reason, the Company shall make the maximum contribution to the payment and satisfaction of each of the Indemnified Liabilities which is permissible under applicable law. Payment under this indemnification shall be made within thirty (30) days from the date the Indemnitee makes written request for it. A certificate containing reasonable detail as to the amount of such indemnification submitted to the Company by the Indemnitee shall be conclusive evidence, absent manifest error, of the amount due from the Company to the Indemnitee; provided that the Indemnitee shall undertake to repay any amounts paid to it hereunder if it is ultimately determined, by a final and non-appealable order of a court of competent jurisdiction, that the Indemnitee is not entitled to be indemnified against such Indemnified Liabilities by the Company pursuant to this Agreement. If any action shall be brought against any Indemnitee in respect of which indemnity may be sought pursuant to this Agreement, such Indemnitee shall promptly notify the Company in writing, and the Company shall have the right to assume the defense thereof with counsel of its own choosing reasonably acceptable to the Indemnitee. Any Indemnitee shall have the right to employ separate counsel in any such action and participate in the defense thereof, but the fees and expenses of such counsel shall be at the expense of such Indemnitee, except to the extent that (i) the employment thereof has been specifically authorized by the Company in writing, (ii) the Company has failed after a reasonable period of time to assume such defense and to employ counsel or (iii) in such action there is, in the reasonable opinion of such separate counsel, a material conflict on any material issue between the position of the Company and the position of such Indemnitee, in which case the Company shall be responsible for the reasonable fees and expenses of no more than one such separate counsel.</w:t>
      </w:r>
    </w:p>
    <w:p>
      <w:pPr>
        <w:pStyle w:val="TextBody"/>
        <w:bidi w:val="0"/>
        <w:jc w:val="both"/>
        <w:rPr/>
      </w:pPr>
      <w:r>
        <w:rPr/>
        <w:t> </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 xml:space="preserve">SUSPENSION EVENTS.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to any other rights and remedies under applicable law and this Agreement, so long as a “Suspension Event” has occurred and is continuing, or if any event that, after notice and/or lapse of time, would reasonably be expected to become a Suspension Event, has occurred and is continuing, the Company shall not deliver to the Investor any Purchase Notice, and the Investor shall not purchase any shares of Common Stock under this Agreement. For the avoidance of doubt, following a Suspension Event, purchases by the Investor pursuant to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hereof may resume as soon as such Suspension Event has been resolved. A “Suspension Event” shall be deemed to have occurred at any time as any of the following events occurs: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effectiveness of the Registration Statement registering the Securities lapses for any reason (including, without limitation, the issuance of a stop order or similar order), the Registration Statement or any prospectus thereunder is unavailable for the resale by the Investor of any or all of the Securities to be issued to the Investor under the Transaction Documents, and any such lapse or unavailability continues for a period of ten (10) consecutive Business Days or for more than an aggregate of thirty (30) Business Days in any 365-day period, but excluding a lapse or unavailability where (i) the Company terminates the Registration Statement after the Investor has confirmed in writing that all of the Securities covered thereby have been resold or (ii) the Company supersedes the Registration Statement with a New Registration Statement, including (without limitation) when the Registration Statement is effectively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replaced with a New Registration Statement covering Securities (provided in the case of this clause (ii) that all of the Securities covered by the superseded (or terminated) registration statement that have not theretofore been sold to the Investor are included in the superseding (or new) registration statement);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suspension of the Common Stock from trading on the Principal Market for a period of one (1) Business Day, provided that the Company may not direct the Investor to purchase any shares of Common Stock during any such suspension;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delisting of the Common Stock from The Nasdaq Capital Market; provided, however, that the Common Stock is not immediately thereafter trading on The Nasdaq Global Market, The Nasdaq Global Select Market, the New York Stock Exchange, the NYSE Arca, the NYSE American, or the OTCQB or the OTCQX operated by the OTC Markets Group, Inc. (or any nationally recognized successor to any of the foregoing);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failure for any reason by the Transfer Agent to issue the Purchase Shares to the Investor by the second Business Day after the applicable Regular Purchase Date or Accelerated Purchase Date (as applicable) on which the Investor is entitled to receive such Purchase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breaches any representation, warranty, covenant or other term or condition under any Transaction Document if such breach would reasonably be expected to have a Material Adverse Effect and except, in the case of a breach of a covenant which is reasonably curable, only if such breach continues for a period of at least five (5) Business Days;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any Person commences a proceeding against the Company pursuant to or within the meaning of any Bankruptcy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rPr>
        <w:t>if the Company pursuant to or within the meaning of any Bankruptcy Law, (i) commences a voluntary case, (ii) consents to the entry of an order for relief against it in an involuntary case, (iii) consents to the appointment of a receiver, trustee, assignee, liquidator or similar official under any Bankruptcy Law (a “</w:t>
      </w:r>
      <w:r>
        <w:rPr>
          <w:rFonts w:ascii="Times New Roman" w:hAnsi="Times New Roman"/>
          <w:color w:val="000000"/>
          <w:sz w:val="22"/>
          <w:u w:val="single"/>
        </w:rPr>
        <w:t>Custodian</w:t>
      </w:r>
      <w:r>
        <w:rPr>
          <w:color w:val="000000"/>
        </w:rPr>
        <w:t>”</w:t>
      </w:r>
      <w:r>
        <w:rPr>
          <w:rFonts w:ascii="Times New Roman" w:hAnsi="Times New Roman"/>
          <w:color w:val="000000"/>
          <w:sz w:val="22"/>
        </w:rPr>
        <w:t>) of it or for all or substantially all of its property, or (iv) makes a general assignment for the benefit of its creditors or is generally unable to pay its debts as the same become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 court of competent jurisdiction enters an order or decree under any Bankruptcy Law that (i) is for relief against the Company in an involuntary case, (ii) appoints a Custodian of the Company or for all or substantially all of its property, or (iii) orders the liquidation of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if at any time the Company is not eligible to transfer its Common Stock electronically as DWAC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rPr>
        <w:t xml:space="preserve">if at any time after the Commencement Date, the Exchange Cap is reached (to the extent the Exchange Cap is applicable pursuant to </w:t>
      </w:r>
      <w:r>
        <w:rPr>
          <w:rFonts w:ascii="Times New Roman" w:hAnsi="Times New Roman"/>
          <w:color w:val="000000"/>
          <w:sz w:val="22"/>
          <w:u w:val="single"/>
        </w:rPr>
        <w:t>Section 2(e)</w:t>
      </w:r>
      <w:r>
        <w:rPr>
          <w:color w:val="000000"/>
        </w:rPr>
        <w:t xml:space="preserve"> </w:t>
      </w:r>
      <w:r>
        <w:rPr>
          <w:rFonts w:ascii="Times New Roman" w:hAnsi="Times New Roman"/>
          <w:color w:val="000000"/>
          <w:sz w:val="22"/>
        </w:rPr>
        <w:t>hereof) and the Company’s stockholders have not approved the transactions contemplated by this Agreement in accordance with the applicable rules and regulations of the Principal Market;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at any time the Investor’s broker is unable to accept Purchase Shares for deposit for reasons not within the Investor’s control.</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TERMINATION</w:t>
      </w:r>
    </w:p>
    <w:p>
      <w:pPr>
        <w:pStyle w:val="TextBody"/>
        <w:bidi w:val="0"/>
        <w:spacing w:before="0" w:after="240"/>
        <w:jc w:val="both"/>
        <w:rPr>
          <w:rFonts w:ascii="Times New Roman" w:hAnsi="Times New Roman"/>
          <w:sz w:val="20"/>
        </w:rPr>
      </w:pPr>
      <w:r>
        <w:rPr>
          <w:rFonts w:ascii="Times New Roman" w:hAnsi="Times New Roman"/>
          <w:color w:val="000000"/>
          <w:sz w:val="22"/>
        </w:rPr>
        <w:t>This Agreement may be terminated only as follows: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If pursuant to or within the meaning of any Bankruptcy Law, the Company commences a voluntary case or any Person commences a proceeding against the Company which is not discharged within 90 days, a Custodian is appointed for the Company or for all or substantially all of its property, or the Company makes a general assignment for the benefit of its creditors (any of which would be a Suspension Event as described in </w:t>
      </w:r>
      <w:r>
        <w:rPr>
          <w:rFonts w:ascii="Times New Roman" w:hAnsi="Times New Roman"/>
          <w:color w:val="000000"/>
          <w:sz w:val="22"/>
          <w:u w:val="single"/>
        </w:rPr>
        <w:t>Sections 10(f)</w:t>
      </w:r>
      <w:r>
        <w:rPr>
          <w:rFonts w:ascii="Times New Roman" w:hAnsi="Times New Roman"/>
          <w:color w:val="000000"/>
          <w:sz w:val="22"/>
        </w:rPr>
        <w:t xml:space="preserve">, </w:t>
      </w:r>
      <w:r>
        <w:rPr>
          <w:rFonts w:ascii="Times New Roman" w:hAnsi="Times New Roman"/>
          <w:color w:val="000000"/>
          <w:sz w:val="22"/>
          <w:u w:val="single"/>
        </w:rPr>
        <w:t>10(g)</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10(h)</w:t>
      </w:r>
      <w:r>
        <w:rPr>
          <w:color w:val="000000"/>
        </w:rPr>
        <w:t xml:space="preserve"> </w:t>
      </w:r>
      <w:r>
        <w:rPr>
          <w:rFonts w:ascii="Times New Roman" w:hAnsi="Times New Roman"/>
          <w:color w:val="000000"/>
          <w:sz w:val="22"/>
        </w:rPr>
        <w:t xml:space="preserve">hereof), this Agreement shall automatically terminate without any liability or payment to the Company (except as set forth in the final paragraph of this </w:t>
      </w:r>
      <w:r>
        <w:rPr>
          <w:rFonts w:ascii="Times New Roman" w:hAnsi="Times New Roman"/>
          <w:color w:val="000000"/>
          <w:sz w:val="22"/>
          <w:u w:val="single"/>
        </w:rPr>
        <w:t>Section 11</w:t>
      </w:r>
      <w:r>
        <w:rPr>
          <w:rFonts w:ascii="Times New Roman" w:hAnsi="Times New Roman"/>
          <w:color w:val="000000"/>
          <w:sz w:val="22"/>
        </w:rPr>
        <w:t xml:space="preserve">) without further action or notice by any Person.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In the event that the Commencement shall not have occurred on or before October 31, 2026 due to the failure to satisfy the conditions set forth in </w:t>
      </w:r>
      <w:r>
        <w:rPr>
          <w:rFonts w:ascii="Times New Roman" w:hAnsi="Times New Roman"/>
          <w:color w:val="000000"/>
          <w:sz w:val="22"/>
          <w:u w:val="single"/>
        </w:rPr>
        <w:t>Sections 7</w:t>
      </w:r>
      <w:r>
        <w:rPr>
          <w:color w:val="00000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color w:val="000000"/>
        </w:rPr>
        <w:t xml:space="preserve"> </w:t>
      </w:r>
      <w:r>
        <w:rPr>
          <w:rFonts w:ascii="Times New Roman" w:hAnsi="Times New Roman"/>
          <w:color w:val="000000"/>
          <w:sz w:val="22"/>
        </w:rPr>
        <w:t xml:space="preserve">above with respect to the Commencement, either the Company or the Investor shall have the option to terminate this Agreement at the close of business on such date or thereafter without liability of any party to any other party (except as set forth in the final paragraph of this </w:t>
      </w:r>
      <w:r>
        <w:rPr>
          <w:rFonts w:ascii="Times New Roman" w:hAnsi="Times New Roman"/>
          <w:color w:val="000000"/>
          <w:sz w:val="22"/>
          <w:u w:val="single"/>
        </w:rPr>
        <w:t>Section 11</w:t>
      </w:r>
      <w:r>
        <w:rPr>
          <w:rFonts w:ascii="Times New Roman" w:hAnsi="Times New Roman"/>
          <w:color w:val="000000"/>
          <w:sz w:val="22"/>
        </w:rPr>
        <w:t xml:space="preserve">); provided, however, that the right to terminate this Agreement under this </w:t>
      </w:r>
      <w:r>
        <w:rPr>
          <w:rFonts w:ascii="Times New Roman" w:hAnsi="Times New Roman"/>
          <w:color w:val="000000"/>
          <w:sz w:val="22"/>
          <w:u w:val="single"/>
        </w:rPr>
        <w:t>Section 11(b)</w:t>
      </w:r>
      <w:r>
        <w:rPr>
          <w:color w:val="000000"/>
        </w:rPr>
        <w:t xml:space="preserve"> </w:t>
      </w:r>
      <w:r>
        <w:rPr>
          <w:rFonts w:ascii="Times New Roman" w:hAnsi="Times New Roman"/>
          <w:color w:val="000000"/>
          <w:sz w:val="22"/>
        </w:rPr>
        <w:t xml:space="preserve">shall not be available to any party if such party is then in breach of any covenant or agreement contained in this Agreement or any representation or warranty of such party contained in this Agreement fails to be true and correct such that the conditions set forth in </w:t>
      </w:r>
      <w:r>
        <w:rPr>
          <w:rFonts w:ascii="Times New Roman" w:hAnsi="Times New Roman"/>
          <w:color w:val="000000"/>
          <w:sz w:val="22"/>
          <w:u w:val="single"/>
        </w:rPr>
        <w:t>Section 7(d)</w:t>
      </w:r>
      <w:r>
        <w:rPr>
          <w:color w:val="000000"/>
        </w:rPr>
        <w:t xml:space="preserve"> </w:t>
      </w:r>
      <w:r>
        <w:rPr>
          <w:rFonts w:ascii="Times New Roman" w:hAnsi="Times New Roman"/>
          <w:color w:val="000000"/>
          <w:sz w:val="22"/>
        </w:rPr>
        <w:t xml:space="preserve">or </w:t>
      </w:r>
      <w:r>
        <w:rPr>
          <w:rFonts w:ascii="Times New Roman" w:hAnsi="Times New Roman"/>
          <w:color w:val="000000"/>
          <w:sz w:val="22"/>
          <w:u w:val="single"/>
        </w:rPr>
        <w:t>Section 8(c)</w:t>
      </w:r>
      <w:r>
        <w:rPr>
          <w:rFonts w:ascii="Times New Roman" w:hAnsi="Times New Roman"/>
          <w:color w:val="000000"/>
          <w:sz w:val="22"/>
        </w:rPr>
        <w:t>, as applicable, could not then be satisfied.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rPr>
        <w:t>At any time after the Commencement Date, the Company shall have the option to terminate this Agreement for any reason or for no reason by delivering notice (a “</w:t>
      </w:r>
      <w:r>
        <w:rPr>
          <w:rFonts w:ascii="Times New Roman" w:hAnsi="Times New Roman"/>
          <w:color w:val="000000"/>
          <w:sz w:val="22"/>
          <w:u w:val="single"/>
        </w:rPr>
        <w:t>Company Termination Notice</w:t>
      </w:r>
      <w:r>
        <w:rPr>
          <w:color w:val="000000"/>
        </w:rPr>
        <w:t>”</w:t>
      </w:r>
      <w:r>
        <w:rPr>
          <w:rFonts w:ascii="Times New Roman" w:hAnsi="Times New Roman"/>
          <w:color w:val="000000"/>
          <w:sz w:val="22"/>
        </w:rPr>
        <w:t xml:space="preserve">) to the Investor electing to terminate this Agreement without any liability whatsoever of any party to any other party under this Agreement (except as set forth in the final paragraph of this </w:t>
      </w:r>
      <w:r>
        <w:rPr>
          <w:rFonts w:ascii="Times New Roman" w:hAnsi="Times New Roman"/>
          <w:color w:val="000000"/>
          <w:sz w:val="22"/>
          <w:u w:val="single"/>
        </w:rPr>
        <w:t>Section 11</w:t>
      </w:r>
      <w:r>
        <w:rPr>
          <w:rFonts w:ascii="Times New Roman" w:hAnsi="Times New Roman"/>
          <w:color w:val="000000"/>
          <w:sz w:val="22"/>
        </w:rPr>
        <w:t xml:space="preserve">). The Company Termination Notice shall be effective one (1) Business Day after it has been received by the Investor.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rPr>
        <w:t xml:space="preserve">This Agreement shall automatically terminate on the date that the Company sells and the Investor purchases the full Available Amount as provided herein, without any action or notice on the part of any party and without any liability whatsoever of any party to any other party under this Agreement (except as set forth in the final paragraph of this </w:t>
      </w:r>
      <w:r>
        <w:rPr>
          <w:rFonts w:ascii="Times New Roman" w:hAnsi="Times New Roman"/>
          <w:color w:val="000000"/>
          <w:sz w:val="22"/>
          <w:u w:val="single"/>
        </w:rPr>
        <w:t>Section 11</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rPr>
        <w:t xml:space="preserve">If, for any reason or for no reason, the full Available Amount has not been purchased in accordance with </w:t>
      </w:r>
      <w:r>
        <w:rPr>
          <w:rFonts w:ascii="Times New Roman" w:hAnsi="Times New Roman"/>
          <w:color w:val="000000"/>
          <w:sz w:val="22"/>
          <w:u w:val="single"/>
        </w:rPr>
        <w:t>Section 2</w:t>
      </w:r>
      <w:r>
        <w:rPr>
          <w:color w:val="000000"/>
        </w:rPr>
        <w:t xml:space="preserve"> </w:t>
      </w:r>
      <w:r>
        <w:rPr>
          <w:rFonts w:ascii="Times New Roman" w:hAnsi="Times New Roman"/>
          <w:color w:val="000000"/>
          <w:sz w:val="22"/>
        </w:rPr>
        <w:t xml:space="preserve">of this Agreement by the Maturity Date, this Agreement shall automatically terminate on the Maturity Date, without any action or notice on the part of any party and without any liability whatsoever of any party to any other party under this Agreement (except as set forth in the final paragraph of this </w:t>
      </w:r>
      <w:r>
        <w:rPr>
          <w:rFonts w:ascii="Times New Roman" w:hAnsi="Times New Roman"/>
          <w:color w:val="000000"/>
          <w:sz w:val="22"/>
          <w:u w:val="single"/>
        </w:rPr>
        <w:t>Section 11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Except as set forth in </w:t>
      </w:r>
      <w:r>
        <w:rPr>
          <w:rFonts w:ascii="Times New Roman" w:hAnsi="Times New Roman"/>
          <w:color w:val="000000"/>
          <w:sz w:val="22"/>
          <w:u w:val="single"/>
        </w:rPr>
        <w:t>Sections 11(a)</w:t>
      </w:r>
      <w:r>
        <w:rPr>
          <w:rFonts w:ascii="Times New Roman" w:hAnsi="Times New Roman"/>
          <w:color w:val="000000"/>
          <w:sz w:val="20"/>
        </w:rPr>
        <w:t xml:space="preserve"> </w:t>
      </w:r>
      <w:r>
        <w:rPr>
          <w:rFonts w:ascii="Times New Roman" w:hAnsi="Times New Roman"/>
          <w:color w:val="000000"/>
          <w:sz w:val="22"/>
        </w:rPr>
        <w:t xml:space="preserve">(in respect of a Suspension Event under </w:t>
      </w:r>
      <w:r>
        <w:rPr>
          <w:rFonts w:ascii="Times New Roman" w:hAnsi="Times New Roman"/>
          <w:color w:val="000000"/>
          <w:sz w:val="22"/>
          <w:u w:val="single"/>
        </w:rPr>
        <w:t>Sections 10(f)</w:t>
      </w:r>
      <w:r>
        <w:rPr>
          <w:rFonts w:ascii="Times New Roman" w:hAnsi="Times New Roman"/>
          <w:color w:val="000000"/>
          <w:sz w:val="22"/>
        </w:rPr>
        <w:t xml:space="preserve">, </w:t>
      </w:r>
      <w:r>
        <w:rPr>
          <w:rFonts w:ascii="Times New Roman" w:hAnsi="Times New Roman"/>
          <w:color w:val="000000"/>
          <w:sz w:val="22"/>
          <w:u w:val="single"/>
        </w:rPr>
        <w:t>10(g)</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10(h))</w:t>
      </w:r>
      <w:r>
        <w:rPr>
          <w:rFonts w:ascii="Times New Roman" w:hAnsi="Times New Roman"/>
          <w:color w:val="000000"/>
          <w:sz w:val="22"/>
        </w:rPr>
        <w:t xml:space="preserve">, </w:t>
      </w:r>
      <w:r>
        <w:rPr>
          <w:rFonts w:ascii="Times New Roman" w:hAnsi="Times New Roman"/>
          <w:color w:val="000000"/>
          <w:sz w:val="22"/>
          <w:u w:val="single"/>
        </w:rPr>
        <w:t>11(d)</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11(e)</w:t>
      </w:r>
      <w:r>
        <w:rPr>
          <w:rFonts w:ascii="Times New Roman" w:hAnsi="Times New Roman"/>
          <w:color w:val="000000"/>
          <w:sz w:val="22"/>
        </w:rPr>
        <w:t xml:space="preserve">, any termination of this Agreement pursuant to this </w:t>
      </w:r>
      <w:r>
        <w:rPr>
          <w:rFonts w:ascii="Times New Roman" w:hAnsi="Times New Roman"/>
          <w:color w:val="000000"/>
          <w:sz w:val="22"/>
          <w:u w:val="single"/>
        </w:rPr>
        <w:t>Section 11</w:t>
      </w:r>
      <w:r>
        <w:rPr>
          <w:rFonts w:ascii="Times New Roman" w:hAnsi="Times New Roman"/>
          <w:color w:val="000000"/>
          <w:sz w:val="20"/>
        </w:rPr>
        <w:t xml:space="preserve"> </w:t>
      </w:r>
      <w:r>
        <w:rPr>
          <w:rFonts w:ascii="Times New Roman" w:hAnsi="Times New Roman"/>
          <w:color w:val="000000"/>
          <w:sz w:val="22"/>
        </w:rPr>
        <w:t xml:space="preserve">shall be effected by written notice from the Company to the Investor, or the Investor to the Company, as the case may be, setting forth the basis for the termination hereof. The representations and warranties of the Company and the Investor contained in </w:t>
      </w:r>
      <w:r>
        <w:rPr>
          <w:rFonts w:ascii="Times New Roman" w:hAnsi="Times New Roman"/>
          <w:color w:val="000000"/>
          <w:sz w:val="22"/>
          <w:u w:val="single"/>
        </w:rPr>
        <w:t>Sections 3</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4</w:t>
      </w:r>
      <w:r>
        <w:rPr>
          <w:rFonts w:ascii="Times New Roman" w:hAnsi="Times New Roman"/>
          <w:color w:val="000000"/>
          <w:sz w:val="20"/>
        </w:rPr>
        <w:t xml:space="preserve"> </w:t>
      </w:r>
      <w:r>
        <w:rPr>
          <w:rFonts w:ascii="Times New Roman" w:hAnsi="Times New Roman"/>
          <w:color w:val="000000"/>
          <w:sz w:val="22"/>
        </w:rPr>
        <w:t xml:space="preserve">hereof, the indemnification provisions set forth in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 xml:space="preserve">hereof and the agreements and covenants set forth in </w:t>
      </w:r>
      <w:r>
        <w:rPr>
          <w:rFonts w:ascii="Times New Roman" w:hAnsi="Times New Roman"/>
          <w:color w:val="000000"/>
          <w:sz w:val="22"/>
          <w:u w:val="single"/>
        </w:rPr>
        <w:t>Sections 5</w:t>
      </w:r>
      <w:r>
        <w:rPr>
          <w:rFonts w:ascii="Times New Roman" w:hAnsi="Times New Roman"/>
          <w:color w:val="000000"/>
          <w:sz w:val="22"/>
        </w:rPr>
        <w:t xml:space="preserve">, </w:t>
      </w:r>
      <w:r>
        <w:rPr>
          <w:rFonts w:ascii="Times New Roman" w:hAnsi="Times New Roman"/>
          <w:color w:val="000000"/>
          <w:sz w:val="22"/>
          <w:u w:val="single"/>
        </w:rPr>
        <w:t>6</w:t>
      </w:r>
      <w:r>
        <w:rPr>
          <w:rFonts w:ascii="Times New Roman" w:hAnsi="Times New Roman"/>
          <w:color w:val="000000"/>
          <w:sz w:val="22"/>
        </w:rPr>
        <w:t xml:space="preserve">, </w:t>
      </w:r>
      <w:r>
        <w:rPr>
          <w:rFonts w:ascii="Times New Roman" w:hAnsi="Times New Roman"/>
          <w:color w:val="000000"/>
          <w:sz w:val="22"/>
          <w:u w:val="single"/>
        </w:rPr>
        <w:t>10</w:t>
      </w:r>
      <w:r>
        <w:rPr>
          <w:rFonts w:ascii="Times New Roman" w:hAnsi="Times New Roman"/>
          <w:color w:val="000000"/>
          <w:sz w:val="22"/>
        </w:rPr>
        <w:t xml:space="preserve">, </w:t>
      </w:r>
      <w:r>
        <w:rPr>
          <w:rFonts w:ascii="Times New Roman" w:hAnsi="Times New Roman"/>
          <w:color w:val="000000"/>
          <w:sz w:val="22"/>
          <w:u w:val="single"/>
        </w:rPr>
        <w:t>11</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12</w:t>
      </w:r>
      <w:r>
        <w:rPr>
          <w:rFonts w:ascii="Times New Roman" w:hAnsi="Times New Roman"/>
          <w:color w:val="000000"/>
          <w:sz w:val="20"/>
        </w:rPr>
        <w:t xml:space="preserve"> </w:t>
      </w:r>
      <w:r>
        <w:rPr>
          <w:rFonts w:ascii="Times New Roman" w:hAnsi="Times New Roman"/>
          <w:color w:val="000000"/>
          <w:sz w:val="22"/>
        </w:rPr>
        <w:t>hereof shall survive the Commencement and any termination of this Agreement. No termination of this Agreement shall (i) affect the Company’s or the Investor’s rights or obligations under (A) this Agreement with respect to any pending Regular Purchases, Accelerated Purchases, and Additional Accelerated Purchases and the Company and the Investor shall complete their respective obligations with respect to any pending Regular Purchases, Accelerated Purchases and Additional Accelerated Purchases under this Agreement and (B) the Registration Rights Agreement, which shall survive any such termination in accordance with its terms, or (ii) be deemed to release the Company or the Investor from any liability for intentional misrepresentation or willful breach of any of the Transaction Documents.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12.</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MISCELLANEOUS.</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Governing Law; Jurisdiction; Jury Trial</w:t>
      </w:r>
      <w:r>
        <w:rPr>
          <w:rFonts w:ascii="Times New Roman" w:hAnsi="Times New Roman"/>
          <w:color w:val="000000"/>
          <w:sz w:val="22"/>
        </w:rPr>
        <w:t xml:space="preserve">.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U.S. District Court for the Southern District of New York or, if that court does not have subject matter jurisdiction, in any state court located in the City and County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hAnsi="Times New Roman"/>
          <w:b/>
          <w:color w:val="000000"/>
          <w:sz w:val="22"/>
        </w:rPr>
        <w:t>EACH PARTY HEREBY IRREVOCABLY WAIVES ANY RIGHT IT MAY HAVE</w:t>
      </w:r>
      <w:r>
        <w:rPr>
          <w:rFonts w:ascii="Times New Roman" w:hAnsi="Times New Roman"/>
          <w:color w:val="000000"/>
          <w:sz w:val="22"/>
        </w:rPr>
        <w:t>,</w:t>
      </w:r>
      <w:r>
        <w:rPr>
          <w:color w:val="000000"/>
        </w:rPr>
        <w:t xml:space="preserve"> </w:t>
      </w:r>
      <w:r>
        <w:rPr>
          <w:rFonts w:ascii="Times New Roman" w:hAnsi="Times New Roman"/>
          <w:b/>
          <w:color w:val="000000"/>
          <w:sz w:val="22"/>
        </w:rPr>
        <w:t>AND AGREES NOT TO REQUEST</w:t>
      </w:r>
      <w:r>
        <w:rPr>
          <w:rFonts w:ascii="Times New Roman" w:hAnsi="Times New Roman"/>
          <w:color w:val="000000"/>
          <w:sz w:val="22"/>
        </w:rPr>
        <w:t>,</w:t>
      </w:r>
      <w:r>
        <w:rPr>
          <w:color w:val="000000"/>
        </w:rPr>
        <w:t xml:space="preserve"> </w:t>
      </w:r>
      <w:r>
        <w:rPr>
          <w:rFonts w:ascii="Times New Roman" w:hAnsi="Times New Roman"/>
          <w:b/>
          <w:color w:val="000000"/>
          <w:sz w:val="22"/>
        </w:rPr>
        <w:t>A JURY TRIAL FOR THE ADJUDICATION OF ANY DISPUTE HEREUNDER OR IN CONNECTION HEREWITH OR ARISING OUT OF THIS AGREEMENT OR ANY TRANSACTION CONTEMPLATED HEREBY</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signature delivered by e-mail in a “.pdf” format data file shall be considered due execution and shall be binding upon the signatory thereto with the same force and effect as if the signature were an original signature.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The headings of this Agreement are for convenience of reference and shall not form part of, or affect the interpretation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The Transaction Documents supersede all other prior oral or written agreements between the Investor, the Company, their affiliates and Persons acting on their behalf with respect to the subject matter thereof, and this Agreement, the other Transaction Documents and the instruments referenced herein contain the entire understanding of the parties with respect to the matters covered herein and therein and, except as specifically set forth herein or therein, neither the Company nor the Investor makes any representation, warranty, covenant or undertaking with respect to such matters. The Company acknowledges and agrees that it has not relied on, in any manner whatsoever, any representations or statements, written or oral, other than as expressly set forth in the Transaction Documents. The Investor acknowledges and agrees that it has not relied on, in any manner whatsoever, any representations or statements, written or oral, other than as expressly set forth in the Transaction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Notices</w:t>
      </w:r>
      <w:r>
        <w:rPr>
          <w:rFonts w:ascii="Times New Roman" w:hAnsi="Times New Roman"/>
          <w:color w:val="000000"/>
          <w:sz w:val="22"/>
        </w:rPr>
        <w:t xml:space="preserve">. Any notices, consents or other communications required or permitted to be given under the terms of this Agreement must be in writing and will be deemed to have been delivered: (i) upon receipt when delivered personally; (ii) upon receipt when sent by email (provided confirmation of </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transmission is mechanically or electronically generated and kept on file by the sending party); or (iii) one Business Day after deposit with a nationally recognized overnight delivery service, in each case properly addressed to the party to receive the same. The addresses for such communications shall be: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w:t>
      </w:r>
    </w:p>
    <w:p>
      <w:pPr>
        <w:pStyle w:val="TextBody"/>
        <w:bidi w:val="0"/>
        <w:jc w:val="left"/>
        <w:rPr>
          <w:rFonts w:ascii="Times New Roman" w:hAnsi="Times New Roman"/>
          <w:color w:val="000000"/>
          <w:sz w:val="22"/>
        </w:rPr>
      </w:pPr>
      <w:r>
        <w:rPr>
          <w:rFonts w:ascii="Times New Roman" w:hAnsi="Times New Roman"/>
          <w:color w:val="000000"/>
          <w:sz w:val="22"/>
        </w:rPr>
        <w:t>FTC Solar, Inc.</w:t>
      </w:r>
    </w:p>
    <w:p>
      <w:pPr>
        <w:pStyle w:val="TextBody"/>
        <w:bidi w:val="0"/>
        <w:jc w:val="left"/>
        <w:rPr>
          <w:rFonts w:ascii="Times New Roman" w:hAnsi="Times New Roman"/>
          <w:color w:val="000000"/>
          <w:sz w:val="22"/>
        </w:rPr>
      </w:pPr>
      <w:r>
        <w:rPr>
          <w:rFonts w:ascii="Times New Roman" w:hAnsi="Times New Roman"/>
          <w:color w:val="000000"/>
          <w:sz w:val="22"/>
        </w:rPr>
        <w:t>10900 Stonelake Boulevard, Suite 100, Quarry Oaks II Building</w:t>
      </w:r>
    </w:p>
    <w:p>
      <w:pPr>
        <w:pStyle w:val="TextBody"/>
        <w:bidi w:val="0"/>
        <w:jc w:val="left"/>
        <w:rPr>
          <w:rFonts w:ascii="Times New Roman" w:hAnsi="Times New Roman"/>
          <w:color w:val="000000"/>
          <w:sz w:val="22"/>
        </w:rPr>
      </w:pPr>
      <w:r>
        <w:rPr>
          <w:rFonts w:ascii="Times New Roman" w:hAnsi="Times New Roman"/>
          <w:color w:val="000000"/>
          <w:sz w:val="22"/>
        </w:rPr>
        <w:t>Austin, TX 78759</w:t>
      </w:r>
    </w:p>
    <w:p>
      <w:pPr>
        <w:pStyle w:val="TextBody"/>
        <w:bidi w:val="0"/>
        <w:jc w:val="left"/>
        <w:rPr>
          <w:rFonts w:ascii="Times New Roman" w:hAnsi="Times New Roman"/>
          <w:color w:val="000000"/>
          <w:sz w:val="22"/>
        </w:rPr>
      </w:pPr>
      <w:r>
        <w:rPr>
          <w:rFonts w:ascii="Times New Roman" w:hAnsi="Times New Roman"/>
          <w:color w:val="000000"/>
          <w:sz w:val="22"/>
        </w:rPr>
        <w:t>Telephone: [***]</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 or service of process):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Arnold &amp; Porter Kaye Scholer LLP</w:t>
      </w:r>
    </w:p>
    <w:p>
      <w:pPr>
        <w:pStyle w:val="TextBody"/>
        <w:bidi w:val="0"/>
        <w:jc w:val="both"/>
        <w:rPr>
          <w:rFonts w:ascii="Times New Roman" w:hAnsi="Times New Roman"/>
          <w:color w:val="000000"/>
          <w:sz w:val="22"/>
        </w:rPr>
      </w:pPr>
      <w:r>
        <w:rPr>
          <w:rFonts w:ascii="Times New Roman" w:hAnsi="Times New Roman"/>
          <w:color w:val="000000"/>
          <w:sz w:val="22"/>
        </w:rPr>
        <w:t>250 West 55th Street</w:t>
      </w:r>
    </w:p>
    <w:p>
      <w:pPr>
        <w:pStyle w:val="TextBody"/>
        <w:bidi w:val="0"/>
        <w:jc w:val="both"/>
        <w:rPr>
          <w:rFonts w:ascii="Times New Roman" w:hAnsi="Times New Roman"/>
          <w:color w:val="000000"/>
          <w:sz w:val="22"/>
        </w:rPr>
      </w:pPr>
      <w:r>
        <w:rPr>
          <w:rFonts w:ascii="Times New Roman" w:hAnsi="Times New Roman"/>
          <w:color w:val="000000"/>
          <w:sz w:val="22"/>
        </w:rPr>
        <w:t>New York, NY 10019-9710</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Investor:</w:t>
      </w:r>
    </w:p>
    <w:p>
      <w:pPr>
        <w:pStyle w:val="TextBody"/>
        <w:bidi w:val="0"/>
        <w:jc w:val="both"/>
        <w:rPr>
          <w:rFonts w:ascii="Times New Roman" w:hAnsi="Times New Roman"/>
          <w:color w:val="000000"/>
          <w:sz w:val="22"/>
        </w:rPr>
      </w:pPr>
      <w:r>
        <w:rPr>
          <w:rFonts w:ascii="Times New Roman" w:hAnsi="Times New Roman"/>
          <w:color w:val="000000"/>
          <w:sz w:val="22"/>
        </w:rPr>
        <w:t>Lincoln Park Capital Fund, LLC</w:t>
      </w:r>
    </w:p>
    <w:p>
      <w:pPr>
        <w:pStyle w:val="TextBody"/>
        <w:bidi w:val="0"/>
        <w:jc w:val="both"/>
        <w:rPr>
          <w:rFonts w:ascii="Times New Roman" w:hAnsi="Times New Roman"/>
          <w:color w:val="000000"/>
          <w:sz w:val="22"/>
        </w:rPr>
      </w:pPr>
      <w:r>
        <w:rPr>
          <w:rFonts w:ascii="Times New Roman" w:hAnsi="Times New Roman"/>
          <w:color w:val="000000"/>
          <w:sz w:val="22"/>
        </w:rPr>
        <w:t>415 North LaSalle Drive, Suite 700B</w:t>
      </w:r>
    </w:p>
    <w:p>
      <w:pPr>
        <w:pStyle w:val="TextBody"/>
        <w:bidi w:val="0"/>
        <w:jc w:val="both"/>
        <w:rPr>
          <w:rFonts w:ascii="Times New Roman" w:hAnsi="Times New Roman"/>
          <w:color w:val="000000"/>
          <w:sz w:val="22"/>
        </w:rPr>
      </w:pPr>
      <w:r>
        <w:rPr>
          <w:rFonts w:ascii="Times New Roman" w:hAnsi="Times New Roman"/>
          <w:color w:val="000000"/>
          <w:sz w:val="22"/>
        </w:rPr>
        <w:t>Chicago, IL 60654</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 or service of process):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K&amp;L Gates, LLP</w:t>
      </w:r>
    </w:p>
    <w:p>
      <w:pPr>
        <w:pStyle w:val="TextBody"/>
        <w:bidi w:val="0"/>
        <w:jc w:val="both"/>
        <w:rPr>
          <w:rFonts w:ascii="Times New Roman" w:hAnsi="Times New Roman"/>
          <w:color w:val="000000"/>
          <w:sz w:val="22"/>
        </w:rPr>
      </w:pPr>
      <w:r>
        <w:rPr>
          <w:rFonts w:ascii="Times New Roman" w:hAnsi="Times New Roman"/>
          <w:color w:val="000000"/>
          <w:sz w:val="22"/>
        </w:rPr>
        <w:t>200 S. Biscayne Blvd., Ste. 3900</w:t>
      </w:r>
    </w:p>
    <w:p>
      <w:pPr>
        <w:pStyle w:val="TextBody"/>
        <w:bidi w:val="0"/>
        <w:jc w:val="both"/>
        <w:rPr>
          <w:rFonts w:ascii="Times New Roman" w:hAnsi="Times New Roman"/>
          <w:color w:val="000000"/>
          <w:sz w:val="22"/>
        </w:rPr>
      </w:pPr>
      <w:r>
        <w:rPr>
          <w:rFonts w:ascii="Times New Roman" w:hAnsi="Times New Roman"/>
          <w:color w:val="000000"/>
          <w:sz w:val="22"/>
        </w:rPr>
        <w:t>Miami, Florida 33131</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Transfer Agent:</w:t>
      </w:r>
    </w:p>
    <w:p>
      <w:pPr>
        <w:pStyle w:val="TextBody"/>
        <w:bidi w:val="0"/>
        <w:jc w:val="both"/>
        <w:rPr>
          <w:rFonts w:ascii="Times New Roman" w:hAnsi="Times New Roman"/>
          <w:color w:val="000000"/>
          <w:sz w:val="22"/>
        </w:rPr>
      </w:pPr>
      <w:r>
        <w:rPr>
          <w:rFonts w:ascii="Times New Roman" w:hAnsi="Times New Roman"/>
          <w:color w:val="000000"/>
          <w:sz w:val="22"/>
        </w:rPr>
        <w:t>Continental Stock Transfer and Trust Company</w:t>
      </w:r>
    </w:p>
    <w:p>
      <w:pPr>
        <w:pStyle w:val="TextBody"/>
        <w:bidi w:val="0"/>
        <w:jc w:val="both"/>
        <w:rPr>
          <w:rFonts w:ascii="Times New Roman" w:hAnsi="Times New Roman"/>
          <w:sz w:val="20"/>
        </w:rPr>
      </w:pPr>
      <w:r>
        <w:rPr>
          <w:rFonts w:ascii="Times New Roman" w:hAnsi="Times New Roman"/>
          <w:color w:val="000000"/>
          <w:sz w:val="22"/>
        </w:rPr>
        <w:t>1 State Street, 30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p>
    <w:p>
      <w:pPr>
        <w:pStyle w:val="TextBody"/>
        <w:bidi w:val="0"/>
        <w:jc w:val="both"/>
        <w:rPr>
          <w:rFonts w:ascii="Times New Roman" w:hAnsi="Times New Roman"/>
          <w:color w:val="000000"/>
          <w:sz w:val="22"/>
        </w:rPr>
      </w:pPr>
      <w:r>
        <w:rPr>
          <w:rFonts w:ascii="Times New Roman" w:hAnsi="Times New Roman"/>
          <w:color w:val="000000"/>
          <w:sz w:val="22"/>
        </w:rPr>
        <w:t>New York, NY 10004-1561</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or at such other address, e-mail and/or to the attention of such other Person as the recipient party has specified by written notice given to each other party three (3) Business Days prior to the effectiveness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such change. Written confirmation of receipt (A) given by the recipient of such notice, consent or other communication, (B) mechanically or electronically generated by the sender’s e-mail account containing the time, date, and recipient e-mail address, as applicable, and an image of the first page of such transmission or (C)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Successors and Assigns</w:t>
      </w:r>
      <w:r>
        <w:rPr>
          <w:rFonts w:ascii="Times New Roman" w:hAnsi="Times New Roman"/>
          <w:color w:val="000000"/>
          <w:sz w:val="22"/>
        </w:rPr>
        <w:t>. This Agreement shall be binding upon and inure to the benefit of the parties and their respective successors and assigns. The Company shall not assign this Agreement or any rights or obligations hereunder without the prior written consent of the Investor, including by merger or consolidation. The Investor may not assign its rights or obligations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No Third Party Beneficiaries</w:t>
      </w:r>
      <w:r>
        <w:rPr>
          <w:rFonts w:ascii="Times New Roman" w:hAnsi="Times New Roman"/>
          <w:color w:val="000000"/>
          <w:sz w:val="22"/>
        </w:rPr>
        <w:t xml:space="preserve">. This Agreement is intended for the benefit of the parties hereto and their respective permitted successors and assigns, and, except as set forth in </w:t>
      </w:r>
      <w:r>
        <w:rPr>
          <w:rFonts w:ascii="Times New Roman" w:hAnsi="Times New Roman"/>
          <w:color w:val="000000"/>
          <w:sz w:val="22"/>
          <w:u w:val="single"/>
        </w:rPr>
        <w:t>Section 9</w:t>
      </w:r>
      <w:r>
        <w:rPr>
          <w:rFonts w:ascii="Times New Roman" w:hAnsi="Times New Roman"/>
          <w:color w:val="000000"/>
          <w:sz w:val="22"/>
        </w:rPr>
        <w:t>, is not for the benefit of, nor may any provision hereof be enforced by, any other Person.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Further Assurances</w:t>
      </w:r>
      <w:r>
        <w:rPr>
          <w:rFonts w:ascii="Times New Roman" w:hAnsi="Times New Roman"/>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consummate and make effective, as soon as reasonably possible, the Commencement, and to carry out the intent and accomplish the purposes of this Agreement and the consummation of the transactions contemplated hereby.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No Strict Construction</w:t>
      </w:r>
      <w:r>
        <w:rPr>
          <w:rFonts w:ascii="Times New Roman" w:hAnsi="Times New Roman"/>
          <w:color w:val="000000"/>
          <w:sz w:val="22"/>
        </w:rPr>
        <w:t>. The language used in this Agreement will be deemed to be the language chosen by the parties to express their mutual intent, and no rules of strict construction will be applied against any party.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Remedies</w:t>
      </w:r>
      <w:r>
        <w:rPr>
          <w:rFonts w:ascii="Times New Roman" w:hAnsi="Times New Roman"/>
          <w:color w:val="000000"/>
          <w:sz w:val="22"/>
        </w:rPr>
        <w:t>,</w:t>
      </w:r>
      <w:r>
        <w:rPr>
          <w:color w:val="000000"/>
          <w:u w:val="single"/>
        </w:rPr>
        <w:t xml:space="preserve"> </w:t>
      </w:r>
      <w:r>
        <w:rPr>
          <w:rFonts w:ascii="Times New Roman" w:hAnsi="Times New Roman"/>
          <w:color w:val="000000"/>
          <w:sz w:val="22"/>
          <w:u w:val="single"/>
        </w:rPr>
        <w:t>Other Obligations</w:t>
      </w:r>
      <w:r>
        <w:rPr>
          <w:rFonts w:ascii="Times New Roman" w:hAnsi="Times New Roman"/>
          <w:color w:val="000000"/>
          <w:sz w:val="22"/>
        </w:rPr>
        <w:t>,</w:t>
      </w:r>
      <w:r>
        <w:rPr>
          <w:color w:val="000000"/>
          <w:u w:val="single"/>
        </w:rPr>
        <w:t xml:space="preserve"> </w:t>
      </w:r>
      <w:r>
        <w:rPr>
          <w:rFonts w:ascii="Times New Roman" w:hAnsi="Times New Roman"/>
          <w:color w:val="000000"/>
          <w:sz w:val="22"/>
          <w:u w:val="single"/>
        </w:rPr>
        <w:t>Breaches and Injunctive Relief</w:t>
      </w:r>
      <w:r>
        <w:rPr>
          <w:rFonts w:ascii="Times New Roman" w:hAnsi="Times New Roman"/>
          <w:color w:val="000000"/>
          <w:sz w:val="22"/>
        </w:rPr>
        <w:t xml:space="preserve">. The Investor’s remedies provided in this Agreement, including, without limitation, the Investor’s remedies provided in </w:t>
      </w:r>
      <w:r>
        <w:rPr>
          <w:rFonts w:ascii="Times New Roman" w:hAnsi="Times New Roman"/>
          <w:color w:val="000000"/>
          <w:sz w:val="22"/>
          <w:u w:val="single"/>
        </w:rPr>
        <w:t>Section 9</w:t>
      </w:r>
      <w:r>
        <w:rPr>
          <w:color w:val="000000"/>
        </w:rPr>
        <w:t xml:space="preserve"> </w:t>
      </w:r>
      <w:r>
        <w:rPr>
          <w:rFonts w:ascii="Times New Roman" w:hAnsi="Times New Roman"/>
          <w:color w:val="000000"/>
          <w:sz w:val="22"/>
        </w:rPr>
        <w:t>hereof, shall be cumulative and in addition to all other remedies available to the Investor under this Agreement, at law or in equity (including a decree of specific performance and/or other injunctive relief), no remedy of the Investor contained herein shall be deemed a waiver of compliance with the provisions giving rise to such remedy and nothing herein shall limit the Investor’s right to pursue actual damages for any failure by the Company to comply with the terms of this Agreement. The Company acknowledges that a breach by it of its obligations hereunder will cause irreparable harm to the Investor and that the remedy at law for any such breach may be inadequate. The Company therefore agrees that, in the event of any such breach or threatened breach, the Investor shall be entitled, in addition to all other available remedies, to an injunction restraining any breach, without the necessity of showing economic loss and without any bond or other security being required.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Enforcement Costs</w:t>
      </w:r>
      <w:r>
        <w:rPr>
          <w:rFonts w:ascii="Times New Roman" w:hAnsi="Times New Roman"/>
          <w:color w:val="000000"/>
          <w:sz w:val="22"/>
        </w:rPr>
        <w:t xml:space="preserve">. If: (i) this Agreement is placed by the Investor in the hands of an attorney for enforcement or is enforced by the Investor through any legal proceeding; (ii) an attorney is retained to represent the Investor in any bankruptcy, reorganization, receivership or other proceedings affecting creditors’ rights and involving a claim under this Agreement; or (iii) subject to </w:t>
      </w:r>
      <w:r>
        <w:rPr>
          <w:rFonts w:ascii="Times New Roman" w:hAnsi="Times New Roman"/>
          <w:color w:val="000000"/>
          <w:sz w:val="22"/>
          <w:u w:val="single"/>
        </w:rPr>
        <w:t>Section 9</w:t>
      </w:r>
      <w:r>
        <w:rPr>
          <w:rFonts w:ascii="Times New Roman" w:hAnsi="Times New Roman"/>
          <w:color w:val="000000"/>
          <w:sz w:val="22"/>
        </w:rPr>
        <w:t xml:space="preserve">, an attorney is retained to represent the Investor in any other proceedings whatsoever in connection with this Agreement, then the Company shall pay to the Investor, as incurred by the Investor, all reasonable costs and expenses including attorneys’ fees incurred in connection therewith if the Investor is the prevailing party in any such proceeding, in addition to all other amounts due hereunder.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Amendment and Waiver; Failure or Indulgence Not Waiver</w:t>
      </w:r>
      <w:r>
        <w:rPr>
          <w:rFonts w:ascii="Times New Roman" w:hAnsi="Times New Roman"/>
          <w:color w:val="000000"/>
          <w:sz w:val="22"/>
        </w:rPr>
        <w:t xml:space="preserve">. No provision of this Agreement may be amended other than by a written instrument signed by both parties hereto and no provision of this Agreement may be waived other than in a written instrument signed by the party against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 Signature Page Follows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Investor and the Company have caused this Purchase Agreement to be duly executed as of the date first written above.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THE COMPANY:</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FTC SOLAR,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/s/ Cathy Behnen</w:t>
      </w:r>
    </w:p>
    <w:p>
      <w:pPr>
        <w:pStyle w:val="TextBody"/>
        <w:bidi w:val="0"/>
        <w:jc w:val="both"/>
        <w:rPr>
          <w:rFonts w:ascii="Times New Roman" w:hAnsi="Times New Roman"/>
          <w:color w:val="000000"/>
          <w:sz w:val="22"/>
        </w:rPr>
      </w:pPr>
      <w:r>
        <w:rPr>
          <w:rFonts w:ascii="Times New Roman" w:hAnsi="Times New Roman"/>
          <w:color w:val="000000"/>
          <w:sz w:val="22"/>
        </w:rPr>
        <w:t>Name: Cathy Behnen</w:t>
      </w:r>
    </w:p>
    <w:p>
      <w:pPr>
        <w:pStyle w:val="TextBody"/>
        <w:bidi w:val="0"/>
        <w:jc w:val="both"/>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INVESTOR: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LINCOLN PARK CAPITAL FUND, LLC</w:t>
      </w:r>
    </w:p>
    <w:p>
      <w:pPr>
        <w:pStyle w:val="TextBody"/>
        <w:bidi w:val="0"/>
        <w:jc w:val="left"/>
        <w:rPr>
          <w:rFonts w:ascii="Times New Roman" w:hAnsi="Times New Roman"/>
          <w:b/>
          <w:color w:val="000000"/>
          <w:sz w:val="22"/>
        </w:rPr>
      </w:pPr>
      <w:r>
        <w:rPr>
          <w:rFonts w:ascii="Times New Roman" w:hAnsi="Times New Roman"/>
          <w:b/>
          <w:color w:val="000000"/>
          <w:sz w:val="22"/>
        </w:rPr>
        <w:t>BY: LINCOLN PARK CAPITAL, LLC</w:t>
      </w:r>
    </w:p>
    <w:p>
      <w:pPr>
        <w:pStyle w:val="TextBody"/>
        <w:bidi w:val="0"/>
        <w:jc w:val="both"/>
        <w:rPr>
          <w:rFonts w:ascii="Times New Roman" w:hAnsi="Times New Roman"/>
          <w:b/>
          <w:color w:val="000000"/>
          <w:sz w:val="22"/>
        </w:rPr>
      </w:pPr>
      <w:r>
        <w:rPr>
          <w:rFonts w:ascii="Times New Roman" w:hAnsi="Times New Roman"/>
          <w:b/>
          <w:color w:val="000000"/>
          <w:sz w:val="22"/>
        </w:rPr>
        <w:t>BY: ROCKLEDGE CAPITAL CORPORATION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/s/ Josh Scheinfeld</w:t>
      </w:r>
    </w:p>
    <w:p>
      <w:pPr>
        <w:pStyle w:val="TextBody"/>
        <w:bidi w:val="0"/>
        <w:jc w:val="both"/>
        <w:rPr>
          <w:rFonts w:ascii="Times New Roman" w:hAnsi="Times New Roman"/>
          <w:color w:val="000000"/>
          <w:sz w:val="22"/>
        </w:rPr>
      </w:pPr>
      <w:r>
        <w:rPr>
          <w:rFonts w:ascii="Times New Roman" w:hAnsi="Times New Roman"/>
          <w:color w:val="000000"/>
          <w:sz w:val="22"/>
        </w:rPr>
        <w:t>Name: Josh Scheinfeld</w:t>
      </w:r>
    </w:p>
    <w:p>
      <w:pPr>
        <w:pStyle w:val="TextBody"/>
        <w:bidi w:val="0"/>
        <w:jc w:val="both"/>
        <w:rPr>
          <w:rFonts w:ascii="Times New Roman" w:hAnsi="Times New Roman"/>
          <w:color w:val="000000"/>
          <w:sz w:val="22"/>
        </w:rPr>
      </w:pPr>
      <w:r>
        <w:rPr>
          <w:rFonts w:ascii="Times New Roman" w:hAnsi="Times New Roman"/>
          <w:color w:val="000000"/>
          <w:sz w:val="22"/>
        </w:rPr>
        <w:t>Title: President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EXHIBITS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Exhibit A Form of Officer’s Certificate</w:t>
      </w:r>
    </w:p>
    <w:p>
      <w:pPr>
        <w:pStyle w:val="TextBody"/>
        <w:bidi w:val="0"/>
        <w:jc w:val="both"/>
        <w:rPr>
          <w:rFonts w:ascii="Times New Roman" w:hAnsi="Times New Roman"/>
          <w:sz w:val="20"/>
        </w:rPr>
      </w:pPr>
      <w:r>
        <w:rPr>
          <w:rFonts w:ascii="Times New Roman" w:hAnsi="Times New Roman"/>
          <w:color w:val="000000"/>
          <w:sz w:val="22"/>
        </w:rPr>
        <w:t>Exhibit B Form of Secretary’s Certificate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OF OFFICER’S CERTIFICATE</w:t>
      </w:r>
    </w:p>
    <w:p>
      <w:pPr>
        <w:pStyle w:val="TextBody"/>
        <w:bidi w:val="0"/>
        <w:spacing w:before="0" w:after="240"/>
        <w:jc w:val="both"/>
        <w:rPr>
          <w:rFonts w:ascii="Times New Roman" w:hAnsi="Times New Roman"/>
          <w:sz w:val="20"/>
        </w:rPr>
      </w:pPr>
      <w:r>
        <w:rPr>
          <w:rFonts w:ascii="Times New Roman" w:hAnsi="Times New Roman"/>
          <w:color w:val="000000"/>
          <w:sz w:val="22"/>
        </w:rPr>
        <w:t>This Officer’s Certificate (“</w:t>
      </w:r>
      <w:r>
        <w:rPr>
          <w:rFonts w:ascii="Times New Roman" w:hAnsi="Times New Roman"/>
          <w:color w:val="000000"/>
          <w:sz w:val="22"/>
          <w:u w:val="single"/>
        </w:rPr>
        <w:t>Certificate</w:t>
      </w:r>
      <w:r>
        <w:rPr>
          <w:rFonts w:ascii="Times New Roman" w:hAnsi="Times New Roman"/>
          <w:color w:val="000000"/>
          <w:sz w:val="20"/>
        </w:rPr>
        <w:t>”</w:t>
      </w:r>
      <w:r>
        <w:rPr>
          <w:rFonts w:ascii="Times New Roman" w:hAnsi="Times New Roman"/>
          <w:color w:val="000000"/>
          <w:sz w:val="22"/>
        </w:rPr>
        <w:t xml:space="preserve">) is being delivered pursuant to </w:t>
      </w:r>
      <w:r>
        <w:rPr>
          <w:rFonts w:ascii="Times New Roman" w:hAnsi="Times New Roman"/>
          <w:color w:val="000000"/>
          <w:sz w:val="22"/>
          <w:u w:val="single"/>
        </w:rPr>
        <w:t>Section 8(c)</w:t>
      </w:r>
      <w:r>
        <w:rPr>
          <w:rFonts w:ascii="Times New Roman" w:hAnsi="Times New Roman"/>
          <w:color w:val="000000"/>
          <w:sz w:val="20"/>
        </w:rPr>
        <w:t xml:space="preserve"> </w:t>
      </w:r>
      <w:r>
        <w:rPr>
          <w:rFonts w:ascii="Times New Roman" w:hAnsi="Times New Roman"/>
          <w:color w:val="000000"/>
          <w:sz w:val="22"/>
        </w:rPr>
        <w:t>of that certain Purchase Agreement dated as of August 4, 2026, (“</w:t>
      </w:r>
      <w:r>
        <w:rPr>
          <w:rFonts w:ascii="Times New Roman" w:hAnsi="Times New Roman"/>
          <w:color w:val="000000"/>
          <w:sz w:val="22"/>
          <w:u w:val="single"/>
        </w:rPr>
        <w:t>Purchase Agreement</w:t>
      </w:r>
      <w:r>
        <w:rPr>
          <w:rFonts w:ascii="Times New Roman" w:hAnsi="Times New Roman"/>
          <w:color w:val="000000"/>
          <w:sz w:val="20"/>
        </w:rPr>
        <w:t>”</w:t>
      </w:r>
      <w:r>
        <w:rPr>
          <w:rFonts w:ascii="Times New Roman" w:hAnsi="Times New Roman"/>
          <w:color w:val="000000"/>
          <w:sz w:val="22"/>
        </w:rPr>
        <w:t>), by and between</w:t>
      </w:r>
      <w:r>
        <w:rPr>
          <w:rFonts w:ascii="Times New Roman" w:hAnsi="Times New Roman"/>
          <w:color w:val="000000"/>
          <w:sz w:val="20"/>
        </w:rPr>
        <w:t xml:space="preserve"> </w:t>
      </w:r>
      <w:r>
        <w:rPr>
          <w:rFonts w:ascii="Times New Roman" w:hAnsi="Times New Roman"/>
          <w:b/>
          <w:color w:val="000000"/>
          <w:sz w:val="22"/>
        </w:rPr>
        <w:t>FTC SOLAR, INC.</w:t>
      </w:r>
      <w:r>
        <w:rPr>
          <w:rFonts w:ascii="Times New Roman" w:hAnsi="Times New Roman"/>
          <w:color w:val="000000"/>
          <w:sz w:val="22"/>
        </w:rPr>
        <w:t>,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 xml:space="preserve">LINCOLN PARK CAPITAL FUND, LLC </w:t>
      </w:r>
      <w:r>
        <w:rPr>
          <w:rFonts w:ascii="Times New Roman" w:hAnsi="Times New Roman"/>
          <w:color w:val="000000"/>
          <w:sz w:val="22"/>
        </w:rPr>
        <w:t>(the “</w:t>
      </w:r>
      <w:r>
        <w:rPr>
          <w:rFonts w:ascii="Times New Roman" w:hAnsi="Times New Roman"/>
          <w:color w:val="000000"/>
          <w:sz w:val="22"/>
          <w:u w:val="single"/>
        </w:rPr>
        <w:t>Investor</w:t>
      </w:r>
      <w:r>
        <w:rPr>
          <w:rFonts w:ascii="Times New Roman" w:hAnsi="Times New Roman"/>
          <w:color w:val="000000"/>
          <w:sz w:val="20"/>
        </w:rPr>
        <w:t>”</w:t>
      </w:r>
      <w:r>
        <w:rPr>
          <w:rFonts w:ascii="Times New Roman" w:hAnsi="Times New Roman"/>
          <w:color w:val="000000"/>
          <w:sz w:val="22"/>
        </w:rPr>
        <w:t>). Terms used herein and not otherwise defined shall have the meanings ascribed to them in the Purchase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 of the Company, hereby certifies, on behalf of the Company and not in his individual capacity,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am the [●] of the Company and make the statements contained in this Certificate;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pPr>
      <w:r>
        <w:rPr>
          <w:rFonts w:ascii="Times New Roman" w:hAnsi="Times New Roman"/>
          <w:color w:val="000000"/>
          <w:sz w:val="22"/>
        </w:rPr>
        <w:t xml:space="preserve">The representations and warranties of the Company are true and correct in all material respects (except to the extent that any of such representations and warranties is already qualified as to materiality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of the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 in which case such representations and warranties are true and correct in all material respects as of such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performed, satisfied and complied in all material respects with covenants, agreements and conditions required by the Transaction Documents to be performed, satisfied or complied with by the Company at or prior to the Commencement Date, to the extent not otherwise waived.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not taken any steps, and does not currently expect to take any steps, to seek protection pursuant to any Bankruptcy Law nor does the Company or any of its Subsidiaries currently have any knowledge or reason to believe that its creditors intend to initiate involuntary bankruptcy or insolvency proceedings. The Company is currently generally able to pay its debts as they become due.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I have hereunder signed my name on this ___ day of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______________________</w:t>
      </w:r>
    </w:p>
    <w:p>
      <w:pPr>
        <w:pStyle w:val="TextBody"/>
        <w:bidi w:val="0"/>
        <w:jc w:val="both"/>
        <w:rPr>
          <w:rFonts w:ascii="Times New Roman" w:hAnsi="Times New Roman"/>
          <w:color w:val="000000"/>
          <w:sz w:val="22"/>
        </w:rPr>
      </w:pPr>
      <w:r>
        <w:rPr>
          <w:rFonts w:ascii="Times New Roman" w:hAnsi="Times New Roman"/>
          <w:color w:val="000000"/>
          <w:sz w:val="22"/>
        </w:rPr>
        <w:t>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w:t>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rFonts w:ascii="Times New Roman" w:hAnsi="Times New Roman"/>
          <w:b/>
          <w:color w:val="000000"/>
          <w:sz w:val="22"/>
        </w:rPr>
      </w:pPr>
      <w:r>
        <w:rPr>
          <w:rFonts w:ascii="Times New Roman" w:hAnsi="Times New Roman"/>
          <w:b/>
          <w:color w:val="000000"/>
          <w:sz w:val="22"/>
        </w:rPr>
        <w:t>FORM OF SECRETARY’S CERTIFICATE</w:t>
      </w:r>
    </w:p>
    <w:p>
      <w:pPr>
        <w:pStyle w:val="TextBody"/>
        <w:bidi w:val="0"/>
        <w:spacing w:before="0" w:after="240"/>
        <w:jc w:val="both"/>
        <w:rPr>
          <w:rFonts w:ascii="Times New Roman" w:hAnsi="Times New Roman"/>
          <w:sz w:val="20"/>
        </w:rPr>
      </w:pPr>
      <w:r>
        <w:rPr>
          <w:rFonts w:ascii="Times New Roman" w:hAnsi="Times New Roman"/>
          <w:color w:val="000000"/>
          <w:sz w:val="22"/>
        </w:rPr>
        <w:t>This Secretary’s Certificate (“</w:t>
      </w:r>
      <w:r>
        <w:rPr>
          <w:rFonts w:ascii="Times New Roman" w:hAnsi="Times New Roman"/>
          <w:color w:val="000000"/>
          <w:sz w:val="22"/>
          <w:u w:val="single"/>
        </w:rPr>
        <w:t>Certificate</w:t>
      </w:r>
      <w:r>
        <w:rPr>
          <w:rFonts w:ascii="Times New Roman" w:hAnsi="Times New Roman"/>
          <w:color w:val="000000"/>
          <w:sz w:val="20"/>
        </w:rPr>
        <w:t>”</w:t>
      </w:r>
      <w:r>
        <w:rPr>
          <w:rFonts w:ascii="Times New Roman" w:hAnsi="Times New Roman"/>
          <w:color w:val="000000"/>
          <w:sz w:val="22"/>
        </w:rPr>
        <w:t xml:space="preserve">) is being delivered pursuant to </w:t>
      </w:r>
      <w:r>
        <w:rPr>
          <w:rFonts w:ascii="Times New Roman" w:hAnsi="Times New Roman"/>
          <w:color w:val="000000"/>
          <w:sz w:val="22"/>
          <w:u w:val="single"/>
        </w:rPr>
        <w:t>Section 8(i)</w:t>
      </w:r>
      <w:r>
        <w:rPr>
          <w:rFonts w:ascii="Times New Roman" w:hAnsi="Times New Roman"/>
          <w:color w:val="000000"/>
          <w:sz w:val="20"/>
        </w:rPr>
        <w:t xml:space="preserve"> </w:t>
      </w:r>
      <w:r>
        <w:rPr>
          <w:rFonts w:ascii="Times New Roman" w:hAnsi="Times New Roman"/>
          <w:color w:val="000000"/>
          <w:sz w:val="22"/>
        </w:rPr>
        <w:t>of that certain Purchase Agreement dated as of August 4, 2026 (“</w:t>
      </w:r>
      <w:r>
        <w:rPr>
          <w:rFonts w:ascii="Times New Roman" w:hAnsi="Times New Roman"/>
          <w:color w:val="000000"/>
          <w:sz w:val="22"/>
          <w:u w:val="single"/>
        </w:rPr>
        <w:t>Purchase Agreement</w:t>
      </w:r>
      <w:r>
        <w:rPr>
          <w:rFonts w:ascii="Times New Roman" w:hAnsi="Times New Roman"/>
          <w:color w:val="000000"/>
          <w:sz w:val="20"/>
        </w:rPr>
        <w:t>”</w:t>
      </w:r>
      <w:r>
        <w:rPr>
          <w:rFonts w:ascii="Times New Roman" w:hAnsi="Times New Roman"/>
          <w:color w:val="000000"/>
          <w:sz w:val="22"/>
        </w:rPr>
        <w:t xml:space="preserve">), by and between </w:t>
      </w:r>
      <w:r>
        <w:rPr>
          <w:rFonts w:ascii="Times New Roman" w:hAnsi="Times New Roman"/>
          <w:b/>
          <w:color w:val="000000"/>
          <w:sz w:val="22"/>
        </w:rPr>
        <w:t>FTC SOLAR, INC</w:t>
      </w:r>
      <w:r>
        <w:rPr>
          <w:rFonts w:ascii="Times New Roman" w:hAnsi="Times New Roman"/>
          <w:color w:val="000000"/>
          <w:sz w:val="22"/>
        </w:rPr>
        <w:t>,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LINCOLN PARK CAPITAL FUND, LLC</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color w:val="000000"/>
          <w:sz w:val="22"/>
          <w:u w:val="single"/>
        </w:rPr>
        <w:t>Investor</w:t>
      </w:r>
      <w:r>
        <w:rPr>
          <w:rFonts w:ascii="Times New Roman" w:hAnsi="Times New Roman"/>
          <w:color w:val="000000"/>
          <w:sz w:val="20"/>
        </w:rPr>
        <w:t>”</w:t>
      </w:r>
      <w:r>
        <w:rPr>
          <w:rFonts w:ascii="Times New Roman" w:hAnsi="Times New Roman"/>
          <w:color w:val="000000"/>
          <w:sz w:val="22"/>
        </w:rPr>
        <w:t>), pursuant to which the Company may sell to the Investor up to Twenty Million Dollars ($20,000,000) of the Company’s Common Stock, $0.0001 par value per share (the “</w:t>
      </w:r>
      <w:r>
        <w:rPr>
          <w:rFonts w:ascii="Times New Roman" w:hAnsi="Times New Roman"/>
          <w:color w:val="000000"/>
          <w:sz w:val="22"/>
          <w:u w:val="single"/>
        </w:rPr>
        <w:t>Common Stock</w:t>
      </w:r>
      <w:r>
        <w:rPr>
          <w:rFonts w:ascii="Times New Roman" w:hAnsi="Times New Roman"/>
          <w:color w:val="000000"/>
          <w:sz w:val="20"/>
        </w:rPr>
        <w:t>”</w:t>
      </w:r>
      <w:r>
        <w:rPr>
          <w:rFonts w:ascii="Times New Roman" w:hAnsi="Times New Roman"/>
          <w:color w:val="000000"/>
          <w:sz w:val="22"/>
        </w:rPr>
        <w:t>). Terms used herein and not otherwise defined shall have the meanings ascribed to them in the Purchase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 Secretary of the Company, hereby certifies, on behalf of the Company and not in his individual capacity,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am the Secretary of the Company and make the statements contained in this Secretary’s Certificate.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40"/>
        <w:jc w:val="both"/>
        <w:rPr/>
      </w:pPr>
      <w:r>
        <w:rPr>
          <w:rFonts w:ascii="Times New Roman" w:hAnsi="Times New Roman"/>
          <w:color w:val="000000"/>
          <w:sz w:val="22"/>
        </w:rPr>
        <w:t>The Company’s Amended and Restated Bylaws (“</w:t>
      </w:r>
      <w:r>
        <w:rPr>
          <w:rFonts w:ascii="Times New Roman" w:hAnsi="Times New Roman"/>
          <w:color w:val="000000"/>
          <w:sz w:val="22"/>
          <w:u w:val="single"/>
        </w:rPr>
        <w:t>Bylaws</w:t>
      </w:r>
      <w:r>
        <w:rPr>
          <w:color w:val="000000"/>
        </w:rPr>
        <w:t>”</w:t>
      </w:r>
      <w:r>
        <w:rPr>
          <w:rFonts w:ascii="Times New Roman" w:hAnsi="Times New Roman"/>
          <w:color w:val="000000"/>
          <w:sz w:val="22"/>
        </w:rPr>
        <w:t>) and Amended and Restated Certificate of Incorporation, as amended (“</w:t>
      </w:r>
      <w:r>
        <w:rPr>
          <w:rFonts w:ascii="Times New Roman" w:hAnsi="Times New Roman"/>
          <w:color w:val="000000"/>
          <w:sz w:val="22"/>
          <w:u w:val="single"/>
        </w:rPr>
        <w:t>Charter</w:t>
      </w:r>
      <w:r>
        <w:rPr>
          <w:color w:val="000000"/>
        </w:rPr>
        <w:t>”</w:t>
      </w:r>
      <w:r>
        <w:rPr>
          <w:rFonts w:ascii="Times New Roman" w:hAnsi="Times New Roman"/>
          <w:color w:val="000000"/>
          <w:sz w:val="22"/>
        </w:rPr>
        <w:t>) are set forth in the SEC documents, and no action has been taken by the Company, its directors, officers or stockholders, in contemplation of the filing of any further amendment relating to or affecting the Bylaws or Charter.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40"/>
        <w:jc w:val="both"/>
        <w:rPr/>
      </w:pPr>
      <w:r>
        <w:rPr>
          <w:rFonts w:ascii="Times New Roman" w:hAnsi="Times New Roman"/>
          <w:color w:val="000000"/>
          <w:sz w:val="22"/>
        </w:rPr>
        <w:t xml:space="preserve">Attached hereto as </w:t>
      </w:r>
      <w:r>
        <w:rPr>
          <w:rFonts w:ascii="Times New Roman" w:hAnsi="Times New Roman"/>
          <w:color w:val="000000"/>
          <w:sz w:val="22"/>
          <w:u w:val="single"/>
        </w:rPr>
        <w:t>Exhibit A</w:t>
      </w:r>
      <w:r>
        <w:rPr>
          <w:color w:val="000000"/>
        </w:rPr>
        <w:t xml:space="preserve"> </w:t>
      </w:r>
      <w:r>
        <w:rPr>
          <w:rFonts w:ascii="Times New Roman" w:hAnsi="Times New Roman"/>
          <w:color w:val="000000"/>
          <w:sz w:val="22"/>
        </w:rPr>
        <w:t>are true, correct and complete copies of the resolutions unanimously adopted by the Board of Directors of the Company on _____________. Such resolutions have not been amended, modified or rescinded and remain in full force and effect and such resolutions are the only resolutions adopted by the Company’s Board of Directors, or any committee thereof, or the stockholders of the Company relating to or affecting (i) the entering into and performance of the Purchase Agreement, or the issuance, offering and sale of the Securities and (ii) the performance of the Company of its obligation under the Transaction Documents as contemplated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the date hereof, the authorized and issued and outstanding capital stock of the Company is as set below: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Authorized shares of Common Stock: 850,000,000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and outstanding shares of Common Stock: [________]</w:t>
      </w:r>
    </w:p>
    <w:p>
      <w:pPr>
        <w:pStyle w:val="TextBody"/>
        <w:bidi w:val="0"/>
        <w:spacing w:before="0" w:after="240"/>
        <w:jc w:val="both"/>
        <w:rPr>
          <w:rFonts w:ascii="Times New Roman" w:hAnsi="Times New Roman"/>
          <w:sz w:val="20"/>
        </w:rPr>
      </w:pPr>
      <w:r>
        <w:rPr>
          <w:rFonts w:ascii="Times New Roman" w:hAnsi="Times New Roman"/>
          <w:color w:val="000000"/>
          <w:sz w:val="22"/>
        </w:rPr>
        <w:t>Authorized shares of preferred stock, $0.0001 par value per share (“</w:t>
      </w:r>
      <w:r>
        <w:rPr>
          <w:rFonts w:ascii="Times New Roman" w:hAnsi="Times New Roman"/>
          <w:color w:val="000000"/>
          <w:sz w:val="22"/>
          <w:u w:val="single"/>
        </w:rPr>
        <w:t>Preferred Stock</w:t>
      </w:r>
      <w:r>
        <w:rPr>
          <w:rFonts w:ascii="Times New Roman" w:hAnsi="Times New Roman"/>
          <w:color w:val="000000"/>
          <w:sz w:val="20"/>
        </w:rPr>
        <w:t>”</w:t>
      </w:r>
      <w:r>
        <w:rPr>
          <w:rFonts w:ascii="Times New Roman" w:hAnsi="Times New Roman"/>
          <w:color w:val="000000"/>
          <w:sz w:val="22"/>
        </w:rPr>
        <w:t>): 10,000,000</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Issued and outstanding shares of Preferred Stock: 0</w:t>
      </w:r>
    </w:p>
    <w:p>
      <w:pPr>
        <w:pStyle w:val="TextBody"/>
        <w:bidi w:val="0"/>
        <w:spacing w:before="0" w:after="24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I have hereunder signed my name on this ___ day of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______________________</w:t>
      </w:r>
    </w:p>
    <w:p>
      <w:pPr>
        <w:pStyle w:val="TextBody"/>
        <w:bidi w:val="0"/>
        <w:jc w:val="both"/>
        <w:rPr>
          <w:rFonts w:ascii="Times New Roman" w:hAnsi="Times New Roman"/>
          <w:color w:val="000000"/>
          <w:sz w:val="22"/>
        </w:rPr>
      </w:pPr>
      <w:r>
        <w:rPr>
          <w:rFonts w:ascii="Times New Roman" w:hAnsi="Times New Roman"/>
          <w:color w:val="000000"/>
          <w:sz w:val="22"/>
        </w:rPr>
        <w:t>Name: [●]</w:t>
      </w:r>
    </w:p>
    <w:p>
      <w:pPr>
        <w:pStyle w:val="TextBody"/>
        <w:bidi w:val="0"/>
        <w:spacing w:before="0" w:after="240"/>
        <w:jc w:val="both"/>
        <w:rPr>
          <w:rFonts w:ascii="Times New Roman" w:hAnsi="Times New Roman"/>
          <w:sz w:val="20"/>
        </w:rPr>
      </w:pPr>
      <w:r>
        <w:rPr>
          <w:rFonts w:ascii="Times New Roman" w:hAnsi="Times New Roman"/>
          <w:color w:val="000000"/>
          <w:sz w:val="22"/>
        </w:rPr>
        <w:t>Title: Secretary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4" w:name="ftci-ex10_2.htm"/>
      <w:bookmarkStart w:id="5" w:name="ksftciex10_2"/>
      <w:bookmarkEnd w:id="4"/>
      <w:bookmarkEnd w:id="5"/>
      <w:r>
        <w:rPr>
          <w:rFonts w:ascii="Times New Roman" w:hAnsi="Times New Roman"/>
          <w:b/>
          <w:color w:val="000000"/>
          <w:sz w:val="24"/>
        </w:rPr>
        <w:t>Exhibit 10.2</w:t>
      </w:r>
      <w:r>
        <w:br w:type="page"/>
      </w:r>
    </w:p>
    <w:p>
      <w:pPr>
        <w:pStyle w:val="TextBody"/>
        <w:bidi w:val="0"/>
        <w:jc w:val="both"/>
        <w:rPr>
          <w:rFonts w:ascii="Times New Roman" w:hAnsi="Times New Roman"/>
          <w:sz w:val="20"/>
        </w:rPr>
      </w:pPr>
      <w:r>
        <w:rPr>
          <w:rFonts w:ascii="Times New Roman" w:hAnsi="Times New Roman"/>
          <w:b/>
          <w:color w:val="000000"/>
          <w:sz w:val="22"/>
        </w:rPr>
        <w:t>REGISTRATION RIGHTS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THIS REGISTRATION RIGHTS AGREEMENT</w:t>
      </w:r>
      <w:r>
        <w:rPr>
          <w:rFonts w:ascii="Times New Roman" w:hAnsi="Times New Roman"/>
          <w:color w:val="000000"/>
          <w:sz w:val="20"/>
        </w:rPr>
        <w:t xml:space="preserve"> </w:t>
      </w:r>
      <w:r>
        <w:rPr>
          <w:rFonts w:ascii="Times New Roman" w:hAnsi="Times New Roman"/>
          <w:color w:val="000000"/>
          <w:sz w:val="22"/>
        </w:rPr>
        <w:t>(this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xml:space="preserve">), dated as of August 4, 2026, is made by and between </w:t>
      </w:r>
      <w:r>
        <w:rPr>
          <w:rFonts w:ascii="Times New Roman" w:hAnsi="Times New Roman"/>
          <w:b/>
          <w:color w:val="000000"/>
          <w:sz w:val="22"/>
        </w:rPr>
        <w:t>FTC SOLAR, INC.</w:t>
      </w:r>
      <w:r>
        <w:rPr>
          <w:rFonts w:ascii="Times New Roman" w:hAnsi="Times New Roman"/>
          <w:color w:val="000000"/>
          <w:sz w:val="22"/>
        </w:rPr>
        <w:t>, a Delaware corporation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xml:space="preserve">), and </w:t>
      </w:r>
      <w:r>
        <w:rPr>
          <w:rFonts w:ascii="Times New Roman" w:hAnsi="Times New Roman"/>
          <w:b/>
          <w:color w:val="000000"/>
          <w:sz w:val="22"/>
        </w:rPr>
        <w:t>LINCOLN PARK CAPITAL FUND, LLC</w:t>
      </w:r>
      <w:r>
        <w:rPr>
          <w:rFonts w:ascii="Times New Roman" w:hAnsi="Times New Roman"/>
          <w:color w:val="000000"/>
          <w:sz w:val="22"/>
        </w:rPr>
        <w:t>, an Illinois limited liability company (together with its permitted assigns, the “</w:t>
      </w:r>
      <w:r>
        <w:rPr>
          <w:rFonts w:ascii="Times New Roman" w:hAnsi="Times New Roman"/>
          <w:color w:val="000000"/>
          <w:sz w:val="22"/>
          <w:u w:val="single"/>
        </w:rPr>
        <w:t>Buyer</w:t>
      </w:r>
      <w:r>
        <w:rPr>
          <w:rFonts w:ascii="Times New Roman" w:hAnsi="Times New Roman"/>
          <w:color w:val="000000"/>
          <w:sz w:val="20"/>
        </w:rPr>
        <w:t>”</w:t>
      </w:r>
      <w:r>
        <w:rPr>
          <w:rFonts w:ascii="Times New Roman" w:hAnsi="Times New Roman"/>
          <w:color w:val="000000"/>
          <w:sz w:val="22"/>
        </w:rPr>
        <w:t>). Capitalized terms used herein and not otherwise defined herein shall have the respective meanings set forth in the Purchase Agreement by and between the parties hereto, dated as of the date hereof (as amended, restated, supplemented or otherwise modified from time to time, the “</w:t>
      </w:r>
      <w:r>
        <w:rPr>
          <w:rFonts w:ascii="Times New Roman" w:hAnsi="Times New Roman"/>
          <w:color w:val="000000"/>
          <w:sz w:val="22"/>
          <w:u w:val="single"/>
        </w:rPr>
        <w:t>Purchase Agreement</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WHEREAS: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Company has the right, upon the terms and subject to the conditions of the Purchase Agreement, to sell and issue to the Buyer up to Twenty Million Dollars ($20,000,000) of Purchase Shares and to induce the Buyer to enter into the Purchase Agreement, the Company has agreed to provide certain registration rights under the Securities Act of 1933, as amended, and the rules and regulations thereunder (collectively,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and applicable state securities laws.</w:t>
      </w:r>
    </w:p>
    <w:p>
      <w:pPr>
        <w:pStyle w:val="TextBody"/>
        <w:bidi w:val="0"/>
        <w:jc w:val="both"/>
        <w:rPr/>
      </w:pPr>
      <w:r>
        <w:rPr/>
        <w:t> </w:t>
      </w:r>
    </w:p>
    <w:p>
      <w:pPr>
        <w:pStyle w:val="TextBody"/>
        <w:bidi w:val="0"/>
        <w:jc w:val="both"/>
        <w:rPr>
          <w:rFonts w:ascii="Times New Roman" w:hAnsi="Times New Roman"/>
          <w:sz w:val="20"/>
        </w:rPr>
      </w:pPr>
      <w:bookmarkStart w:id="6" w:name="lastspot"/>
      <w:bookmarkEnd w:id="6"/>
      <w:r>
        <w:rPr>
          <w:rFonts w:ascii="Times New Roman" w:hAnsi="Times New Roman"/>
          <w:b/>
          <w:color w:val="000000"/>
          <w:sz w:val="22"/>
        </w:rPr>
        <w:t>NOW, THEREFORE,</w:t>
      </w:r>
      <w:r>
        <w:rPr>
          <w:rFonts w:ascii="Times New Roman" w:hAnsi="Times New Roman"/>
          <w:color w:val="000000"/>
          <w:sz w:val="20"/>
        </w:rPr>
        <w:t xml:space="preserve"> </w:t>
      </w:r>
      <w:r>
        <w:rPr>
          <w:rFonts w:ascii="Times New Roman" w:hAnsi="Times New Roman"/>
          <w:color w:val="000000"/>
          <w:sz w:val="22"/>
        </w:rPr>
        <w:t>in consideration of the promises and the mutual covenants contained herein and other good and valuable consideration, the receipt and sufficiency of which are hereby acknowledged, the Company and the Buyer hereby agree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DEFINITIONS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used in this Agreement, the following terms shall have the following meanings: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w:t>
      </w:r>
      <w:r>
        <w:rPr>
          <w:rFonts w:ascii="Times New Roman" w:hAnsi="Times New Roman"/>
          <w:color w:val="000000"/>
          <w:sz w:val="22"/>
          <w:u w:val="single"/>
        </w:rPr>
        <w:t>Investor</w:t>
      </w:r>
      <w:r>
        <w:rPr>
          <w:rFonts w:ascii="Times New Roman" w:hAnsi="Times New Roman"/>
          <w:color w:val="000000"/>
          <w:sz w:val="20"/>
        </w:rPr>
        <w:t xml:space="preserve">” </w:t>
      </w:r>
      <w:r>
        <w:rPr>
          <w:rFonts w:ascii="Times New Roman" w:hAnsi="Times New Roman"/>
          <w:color w:val="000000"/>
          <w:sz w:val="22"/>
        </w:rPr>
        <w:t xml:space="preserve">means the Buyer, any transferee or assignee thereof to whom the Buyer assigns its rights under this Agreement in accordance with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 xml:space="preserve">and who agrees to become bound by the provisions of this Agreement, and any transferee or assignee thereof to whom a transferee or assignee assigns its rights under this Agreement in accordance with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and who agrees to become bound by the provisions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any individual or entity including but not limited to any corporation, a limited liability company, an association, a partnership, an organization, a business, an individual, a governmental or political subdivision thereof or a governmental agency.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w:t>
      </w:r>
      <w:r>
        <w:rPr>
          <w:rFonts w:ascii="Times New Roman" w:hAnsi="Times New Roman"/>
          <w:color w:val="000000"/>
          <w:sz w:val="22"/>
          <w:u w:val="single"/>
        </w:rPr>
        <w:t>Register</w:t>
      </w:r>
      <w:r>
        <w:rPr>
          <w:rFonts w:ascii="Times New Roman" w:hAnsi="Times New Roman"/>
          <w:color w:val="000000"/>
          <w:sz w:val="22"/>
        </w:rPr>
        <w:t>,” “</w:t>
      </w:r>
      <w:r>
        <w:rPr>
          <w:rFonts w:ascii="Times New Roman" w:hAnsi="Times New Roman"/>
          <w:color w:val="000000"/>
          <w:sz w:val="22"/>
          <w:u w:val="single"/>
        </w:rPr>
        <w:t>registered</w:t>
      </w:r>
      <w:r>
        <w:rPr>
          <w:rFonts w:ascii="Times New Roman" w:hAnsi="Times New Roman"/>
          <w:color w:val="000000"/>
          <w:sz w:val="22"/>
        </w:rPr>
        <w:t>,” and “</w:t>
      </w:r>
      <w:r>
        <w:rPr>
          <w:rFonts w:ascii="Times New Roman" w:hAnsi="Times New Roman"/>
          <w:color w:val="000000"/>
          <w:sz w:val="22"/>
          <w:u w:val="single"/>
        </w:rPr>
        <w:t>registration</w:t>
      </w:r>
      <w:r>
        <w:rPr>
          <w:rFonts w:ascii="Times New Roman" w:hAnsi="Times New Roman"/>
          <w:color w:val="000000"/>
          <w:sz w:val="20"/>
        </w:rPr>
        <w:t xml:space="preserve">” </w:t>
      </w:r>
      <w:r>
        <w:rPr>
          <w:rFonts w:ascii="Times New Roman" w:hAnsi="Times New Roman"/>
          <w:color w:val="000000"/>
          <w:sz w:val="22"/>
        </w:rPr>
        <w:t>refer to a registration effected by preparing and filing one or more registration statements of the Company in compliance with the Securities Act and pursuant to Rule 415 under the Securities Act or any successor rule providing for offering securities on a continuous basis (“</w:t>
      </w:r>
      <w:r>
        <w:rPr>
          <w:rFonts w:ascii="Times New Roman" w:hAnsi="Times New Roman"/>
          <w:color w:val="000000"/>
          <w:sz w:val="22"/>
          <w:u w:val="single"/>
        </w:rPr>
        <w:t>Rule 415</w:t>
      </w:r>
      <w:r>
        <w:rPr>
          <w:rFonts w:ascii="Times New Roman" w:hAnsi="Times New Roman"/>
          <w:color w:val="000000"/>
          <w:sz w:val="20"/>
        </w:rPr>
        <w:t>”</w:t>
      </w:r>
      <w:r>
        <w:rPr>
          <w:rFonts w:ascii="Times New Roman" w:hAnsi="Times New Roman"/>
          <w:color w:val="000000"/>
          <w:sz w:val="22"/>
        </w:rPr>
        <w:t>), and the declaration or ordering of effectiveness of such registration statement(s) by the United States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d. “</w:t>
      </w:r>
      <w:r>
        <w:rPr>
          <w:rFonts w:ascii="Times New Roman" w:hAnsi="Times New Roman"/>
          <w:color w:val="000000"/>
          <w:sz w:val="22"/>
          <w:u w:val="single"/>
        </w:rPr>
        <w:t>Registrable Securities</w:t>
      </w:r>
      <w:r>
        <w:rPr>
          <w:rFonts w:ascii="Times New Roman" w:hAnsi="Times New Roman"/>
          <w:color w:val="000000"/>
          <w:sz w:val="20"/>
        </w:rPr>
        <w:t xml:space="preserve">” </w:t>
      </w:r>
      <w:r>
        <w:rPr>
          <w:rFonts w:ascii="Times New Roman" w:hAnsi="Times New Roman"/>
          <w:color w:val="000000"/>
          <w:sz w:val="22"/>
        </w:rPr>
        <w:t xml:space="preserve">means all of the Commitment Shares and the Purchase Shares that may, from time to time, be issued or become issuable to the Investor under the Purchase Agreement (without regard to any limitation or restriction on purchases), and any and all shares of capital stock issued or issuable with respect to the Purchase Shares or the Commitment Shares or the Purchase Agreement as a result of any stock split, stock dividend, recapitalization, exchange or similar event or otherwise, without regard to any limitation on purchases under the Purchase Agreement, </w:t>
      </w:r>
      <w:r>
        <w:rPr>
          <w:rFonts w:ascii="Times New Roman" w:hAnsi="Times New Roman"/>
          <w:i/>
          <w:color w:val="000000"/>
          <w:sz w:val="22"/>
        </w:rPr>
        <w:t xml:space="preserve">provided however, </w:t>
      </w:r>
      <w:r>
        <w:rPr>
          <w:rFonts w:ascii="Times New Roman" w:hAnsi="Times New Roman"/>
          <w:color w:val="000000"/>
          <w:sz w:val="22"/>
        </w:rPr>
        <w:t>that “</w:t>
      </w:r>
      <w:r>
        <w:rPr>
          <w:rFonts w:ascii="Times New Roman" w:hAnsi="Times New Roman"/>
          <w:i/>
          <w:color w:val="000000"/>
          <w:sz w:val="22"/>
        </w:rPr>
        <w:t>Registrable Securities</w:t>
      </w:r>
      <w:r>
        <w:rPr>
          <w:rFonts w:ascii="Times New Roman" w:hAnsi="Times New Roman"/>
          <w:color w:val="000000"/>
          <w:sz w:val="20"/>
        </w:rPr>
        <w:t xml:space="preserve">” </w:t>
      </w:r>
      <w:r>
        <w:rPr>
          <w:rFonts w:ascii="Times New Roman" w:hAnsi="Times New Roman"/>
          <w:color w:val="000000"/>
          <w:sz w:val="22"/>
        </w:rPr>
        <w:t>shall not include any security that is eligible to be sold by the holder thereof, without the application of any current ‎public information, volume or manner of sale restrictions pursuant to Rule 144 promulgated ‎under the Securities 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 “</w:t>
      </w:r>
      <w:r>
        <w:rPr>
          <w:rFonts w:ascii="Times New Roman" w:hAnsi="Times New Roman"/>
          <w:color w:val="000000"/>
          <w:sz w:val="22"/>
          <w:u w:val="single"/>
        </w:rPr>
        <w:t>Registration Statement</w:t>
      </w:r>
      <w:r>
        <w:rPr>
          <w:rFonts w:ascii="Times New Roman" w:hAnsi="Times New Roman"/>
          <w:color w:val="000000"/>
          <w:sz w:val="20"/>
        </w:rPr>
        <w:t xml:space="preserve">” </w:t>
      </w:r>
      <w:r>
        <w:rPr>
          <w:rFonts w:ascii="Times New Roman" w:hAnsi="Times New Roman"/>
          <w:color w:val="000000"/>
          <w:sz w:val="22"/>
        </w:rPr>
        <w:t>means one or more registration statements of the Company covering only the resale of the Registrable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REGISTRATION</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Mandatory Registration.</w:t>
      </w:r>
      <w:r>
        <w:rPr>
          <w:rFonts w:ascii="Times New Roman" w:hAnsi="Times New Roman"/>
          <w:color w:val="000000"/>
          <w:sz w:val="20"/>
        </w:rPr>
        <w:t xml:space="preserve"> </w:t>
      </w:r>
      <w:r>
        <w:rPr>
          <w:rFonts w:ascii="Times New Roman" w:hAnsi="Times New Roman"/>
          <w:color w:val="000000"/>
          <w:sz w:val="22"/>
        </w:rPr>
        <w:t>The Company shall, within ten (10) Business Days from the date of this Agreement, file with the SEC an initial Registration Statement on Form S-1 (or on another registration statement form the Company is eligible to file), covering the maximum number of Registrable Securities as the Company shall be permitted to be included thereon in accordance with applicable SEC rules, regulations and interpretations so as to permit the resale of such Registrable Securities by the Investor under Rule 415 under the Securities Act at then prevailing market prices (and not fixed prices), as mutually determined by both the Company and the Investor in consultation with their respective legal counsel (in any case including all of the Commitment Shares), subject to the aggregate number of authorized shares of the Company’s Common Stock then available for issuance in its Certificate of Incorporation. The initial Registration Statement shall register only the Registrable Securities. The Investor and its counsel shall have a reasonable opportunity to review and comment upon such Registration Statement and any amendment or supplement to such Registration Statement and any related prospectus prior to its filing with the SEC, and the Company shall give due consideration to all comments received from the Investor or its counsel. The Investor acknowledges that it will be identified in the initial Registration Statement as an underwriter within the meaning of Section 2(a)(11) of the Securities Act and shall furnish all information reasonably requested by the Company for inclusion therein. The Company shall use commercially reasonable efforts to have the Registration Statement and any amendment declared effective by the SEC as soon as practicable. The Company shall use commercially reasonable efforts to keep the Registration Statement effective pursuant to Rule 415 promulgated under the Securities Act and available for the resale by the Investor of all of the Registrable Securities covered thereby at all times until the date on which the Investor shall have resold all the Registrable Securities covered thereby and no Available Amount remains under the Purchase Agreement (the “</w:t>
      </w:r>
      <w:r>
        <w:rPr>
          <w:rFonts w:ascii="Times New Roman" w:hAnsi="Times New Roman"/>
          <w:color w:val="000000"/>
          <w:sz w:val="22"/>
          <w:u w:val="single"/>
        </w:rPr>
        <w:t>Registration Period</w:t>
      </w:r>
      <w:r>
        <w:rPr>
          <w:rFonts w:ascii="Times New Roman" w:hAnsi="Times New Roman"/>
          <w:color w:val="000000"/>
          <w:sz w:val="20"/>
        </w:rPr>
        <w:t>”</w:t>
      </w:r>
      <w:r>
        <w:rPr>
          <w:rFonts w:ascii="Times New Roman" w:hAnsi="Times New Roman"/>
          <w:color w:val="000000"/>
          <w:sz w:val="22"/>
        </w:rPr>
        <w:t>). The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Rule 424 Prospectus</w:t>
      </w:r>
      <w:r>
        <w:rPr>
          <w:rFonts w:ascii="Times New Roman" w:hAnsi="Times New Roman"/>
          <w:color w:val="000000"/>
          <w:sz w:val="22"/>
        </w:rPr>
        <w:t>. The Company shall, as required by applicable securities regulations, from time to time file with the SEC, pursuant to Rule 424 promulgated under the Securities Act, the prospectus and prospectus supplements, if any, to be used in connection with resales of the Registrable Securities by the Investor under the Registration Statement during the Registration Period. The Investor and its counsel shall have a reasonable opportunity to review and comment upon such prospectus prior to its filing with the SEC, and the Company shall give due consideration to all comments received from the Investor or its counsel. The Investor shall use its commercially reasonable efforts to provide any such comments within one (1) Business Day from the date the Investor receives the final pre-filing version of such prospectus.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Sufficient Number of Shares Registered</w:t>
      </w:r>
      <w:r>
        <w:rPr>
          <w:rFonts w:ascii="Times New Roman" w:hAnsi="Times New Roman"/>
          <w:color w:val="000000"/>
          <w:sz w:val="22"/>
        </w:rPr>
        <w:t>. In the event the number of shares available under the Registration Statement is insufficient to cover all of the Registrable Securities, the Company shall, to the extent necessary and permissible, amend the Registration Statement or file a new Registration Statement (a “</w:t>
      </w:r>
      <w:r>
        <w:rPr>
          <w:rFonts w:ascii="Times New Roman" w:hAnsi="Times New Roman"/>
          <w:color w:val="000000"/>
          <w:sz w:val="22"/>
          <w:u w:val="single"/>
        </w:rPr>
        <w:t>New Registration Statement</w:t>
      </w:r>
      <w:r>
        <w:rPr>
          <w:rFonts w:ascii="Times New Roman" w:hAnsi="Times New Roman"/>
          <w:color w:val="000000"/>
          <w:sz w:val="20"/>
        </w:rPr>
        <w:t>”</w:t>
      </w:r>
      <w:r>
        <w:rPr>
          <w:rFonts w:ascii="Times New Roman" w:hAnsi="Times New Roman"/>
          <w:color w:val="000000"/>
          <w:sz w:val="22"/>
        </w:rPr>
        <w:t xml:space="preserve">), so as to cover all of such Registrable Securities (subject to the limitations set forth in </w:t>
      </w:r>
      <w:r>
        <w:rPr>
          <w:rFonts w:ascii="Times New Roman" w:hAnsi="Times New Roman"/>
          <w:color w:val="000000"/>
          <w:sz w:val="22"/>
          <w:u w:val="single"/>
        </w:rPr>
        <w:t>Section 2(a)</w:t>
      </w:r>
      <w:r>
        <w:rPr>
          <w:rFonts w:ascii="Times New Roman" w:hAnsi="Times New Roman"/>
          <w:color w:val="000000"/>
          <w:sz w:val="20"/>
        </w:rPr>
        <w:t xml:space="preserve"> </w:t>
      </w:r>
      <w:r>
        <w:rPr>
          <w:rFonts w:ascii="Times New Roman" w:hAnsi="Times New Roman"/>
          <w:color w:val="000000"/>
          <w:sz w:val="22"/>
        </w:rPr>
        <w:t>hereof) as soon as reasonably practicable, but in any event not later than thirty (30) calendar days after the necessity therefor arises, subject to any limits that may be imposed by the SEC pursuant to Rule 415 under the Securities Act. The Company shall use its commercially reasonable efforts to cause such amendment and/or New Registration Statement to become effective as soon as practicable following the filing thereof.</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Offering</w:t>
      </w:r>
      <w:r>
        <w:rPr>
          <w:rFonts w:ascii="Times New Roman" w:hAnsi="Times New Roman"/>
          <w:color w:val="000000"/>
          <w:sz w:val="22"/>
        </w:rPr>
        <w:t>. If the staff of the SEC (the “</w:t>
      </w:r>
      <w:r>
        <w:rPr>
          <w:rFonts w:ascii="Times New Roman" w:hAnsi="Times New Roman"/>
          <w:color w:val="000000"/>
          <w:sz w:val="22"/>
          <w:u w:val="single"/>
        </w:rPr>
        <w:t>Staff</w:t>
      </w:r>
      <w:r>
        <w:rPr>
          <w:rFonts w:ascii="Times New Roman" w:hAnsi="Times New Roman"/>
          <w:color w:val="000000"/>
          <w:sz w:val="20"/>
        </w:rPr>
        <w:t>”</w:t>
      </w:r>
      <w:r>
        <w:rPr>
          <w:rFonts w:ascii="Times New Roman" w:hAnsi="Times New Roman"/>
          <w:color w:val="000000"/>
          <w:sz w:val="22"/>
        </w:rPr>
        <w:t xml:space="preserve">) or the SEC seeks to characterize any offering pursuant to a Registration Statement filed pursuant to this Agreement as constituting an offering of securities that does not permit such Registration Statement to become effective and be used for resales by the Investor under Rule 415 at then-prevailing market prices (and not fixed prices), or if after the filing of the initial Registration Statement with the SEC pursuant to </w:t>
      </w:r>
      <w:r>
        <w:rPr>
          <w:rFonts w:ascii="Times New Roman" w:hAnsi="Times New Roman"/>
          <w:color w:val="000000"/>
          <w:sz w:val="22"/>
          <w:u w:val="single"/>
        </w:rPr>
        <w:t>Section 2(a)</w:t>
      </w:r>
      <w:r>
        <w:rPr>
          <w:rFonts w:ascii="Times New Roman" w:hAnsi="Times New Roman"/>
          <w:color w:val="000000"/>
          <w:sz w:val="20"/>
        </w:rPr>
        <w:t xml:space="preserve"> </w:t>
      </w:r>
      <w:r>
        <w:rPr>
          <w:rFonts w:ascii="Times New Roman" w:hAnsi="Times New Roman"/>
          <w:color w:val="000000"/>
          <w:sz w:val="22"/>
        </w:rPr>
        <w:t xml:space="preserve">hereof, the Company is otherwise required by the Staff or the SEC to reduce the number of Registrable Securities included in such initial Registration Statement, then the Company shall reduce the number of Registrable Securities to be included in such initial Registration Statement (with the prior consent, which shall not be unreasonably withheld, delayed or conditioned, of the Investor and its legal counsel as to the specific Registrable Securities to be removed therefrom) until such time as the Staff and the SEC shall so permit such Registration Statement to become effective and be used as aforesaid. In the event of any reduction in Registrable Securities pursuant to this paragraph, the Company shall file one or more New Registration Statements in accordance with </w:t>
      </w:r>
      <w:r>
        <w:rPr>
          <w:rFonts w:ascii="Times New Roman" w:hAnsi="Times New Roman"/>
          <w:color w:val="000000"/>
          <w:sz w:val="22"/>
          <w:u w:val="single"/>
        </w:rPr>
        <w:t>Section 2(c)</w:t>
      </w:r>
      <w:r>
        <w:rPr>
          <w:rFonts w:ascii="Times New Roman" w:hAnsi="Times New Roman"/>
          <w:color w:val="000000"/>
          <w:sz w:val="20"/>
        </w:rPr>
        <w:t xml:space="preserve"> </w:t>
      </w:r>
      <w:r>
        <w:rPr>
          <w:rFonts w:ascii="Times New Roman" w:hAnsi="Times New Roman"/>
          <w:color w:val="000000"/>
          <w:sz w:val="22"/>
        </w:rPr>
        <w:t xml:space="preserve">hereof until such time as all Registrable Securities have been included in Registration Statements that have been declared effective and the prospectus contained therein is available for use by the Investor. Notwithstanding any provision herein or in the Purchase Agreement to the contrary, the Company’s obligations to register Registrable Securities (and any related conditions to the Investor’s obligations) shall be qualified as necessary to comport with any requirement of the SEC or the Staff as addressed in this </w:t>
      </w:r>
      <w:r>
        <w:rPr>
          <w:rFonts w:ascii="Times New Roman" w:hAnsi="Times New Roman"/>
          <w:color w:val="000000"/>
          <w:sz w:val="22"/>
          <w:u w:val="single"/>
        </w:rPr>
        <w:t>Section 2(d)</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RELATED OBLIGATIONS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With respect to the Registration Statement and whenever any Registrable Securities are to be registered pursuant to </w:t>
      </w:r>
      <w:r>
        <w:rPr>
          <w:rFonts w:ascii="Times New Roman" w:hAnsi="Times New Roman"/>
          <w:color w:val="000000"/>
          <w:sz w:val="22"/>
          <w:u w:val="single"/>
        </w:rPr>
        <w:t>Section 2</w:t>
      </w:r>
      <w:r>
        <w:rPr>
          <w:rFonts w:ascii="Times New Roman" w:hAnsi="Times New Roman"/>
          <w:color w:val="000000"/>
          <w:sz w:val="20"/>
        </w:rPr>
        <w:t xml:space="preserve"> </w:t>
      </w:r>
      <w:r>
        <w:rPr>
          <w:rFonts w:ascii="Times New Roman" w:hAnsi="Times New Roman"/>
          <w:color w:val="000000"/>
          <w:sz w:val="22"/>
        </w:rPr>
        <w:t>hereof</w:t>
      </w:r>
      <w:r>
        <w:rPr>
          <w:rFonts w:ascii="Times New Roman" w:hAnsi="Times New Roman"/>
          <w:color w:val="000000"/>
          <w:sz w:val="22"/>
          <w:u w:val="single"/>
        </w:rPr>
        <w:t>,</w:t>
      </w:r>
      <w:r>
        <w:rPr>
          <w:rFonts w:ascii="Times New Roman" w:hAnsi="Times New Roman"/>
          <w:color w:val="000000"/>
          <w:sz w:val="20"/>
        </w:rPr>
        <w:t xml:space="preserve"> </w:t>
      </w:r>
      <w:r>
        <w:rPr>
          <w:rFonts w:ascii="Times New Roman" w:hAnsi="Times New Roman"/>
          <w:color w:val="000000"/>
          <w:sz w:val="22"/>
        </w:rPr>
        <w:t>including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The Company shall prepare and file with the SEC such amendments (including post-effective amendments) and supplements to any Registration Statement and the prospectus used in connection with such Registration Statement, which prospectus is to be filed pursuant to Rule 424 promulgated under the Securities Act, as may be necessary to keep the Registration Statement or any New Registration Statement effective at all times during the Registration Period, and, during such period, comply with the provisions of the Securities Act with respect to the disposition of all Registrable Securities of the Company covered by the Registration Statement or any New Registration Statement until such time as all of such Registrable Securities shall have been disposed of in accordance with the intended methods of disposition by the Investor as set forth in such Registration Statement.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 The Company shall permit the Investor to review and comment upon the Registration Statement or any New Registration Statement and all amendments and supplements thereto at least two (2) Business Days prior to their filing with the SEC (except to the extent any such document contains material non-public information after the effective date of the initial Registration Statement), and not file any document in a form to which Investor reasonably objects. The Investor shall use its commercially reasonable efforts to comment upon the Registration Statement or any New Registration Statement and any amendments or supplements thereto within two (2) Business Days from the date the Investor receives the final version thereof. The Company shall furnish to the Investor, without charge any correspondence from the SEC or the staff of the SEC to the Company or its representatives relating to the Registration Statement or any New Registration Statement.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Upon request of the Investor, the Company shall furnish to the Investor, (i) promptly after the same is prepared and filed with the SEC, at least one copy of such Registration Statement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and any amendment(s) thereto, including financial statements and schedules, all documents incorporated therein by reference and all exhibits, (ii) upon the effectiveness of any Registration Statement, a copy of the prospectus included in such Registration Statement and all amendments and supplements thereto (or such other number of copies as the Investor may reasonably request) and (iii) such other documents, including copies of any preliminary or final prospectus, as the Investor may reasonably request from time to time in order to facilitate the disposition of the Registrable Securities owned by the Investor. For the avoidance of doubt, any filing available to the Investor via the SEC’s live EDGAR system shall be deemed “furnished to the Investor” hereunder.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 The Company shall use commercially reasonable efforts to (i) register and qualify the Registrable Securities covered by a Registration Statement under such other securities or “blue sky” laws of such jurisdictions in the United States as the Investor reasonably requests</w:t>
      </w:r>
      <w:r>
        <w:rPr>
          <w:rFonts w:ascii="Times New Roman" w:hAnsi="Times New Roman"/>
          <w:color w:val="000000"/>
          <w:sz w:val="20"/>
        </w:rPr>
        <w:t xml:space="preserve"> </w:t>
      </w:r>
      <w:r>
        <w:rPr>
          <w:rFonts w:ascii="Times New Roman" w:hAnsi="Times New Roman"/>
          <w:color w:val="000000"/>
          <w:sz w:val="22"/>
        </w:rPr>
        <w:t xml:space="preserve">(unless an exemption from registration and qualification applies), (ii) prepare and file in those jurisdictions, such amendments (including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that the Company shall not be required in connection therewith or as a condition thereto to (x) qualify to do business in any jurisdiction where it would not otherwise be required to qualify but for this </w:t>
      </w:r>
      <w:r>
        <w:rPr>
          <w:rFonts w:ascii="Times New Roman" w:hAnsi="Times New Roman"/>
          <w:color w:val="000000"/>
          <w:sz w:val="22"/>
          <w:u w:val="single"/>
        </w:rPr>
        <w:t>Section 3(d)</w:t>
      </w:r>
      <w:r>
        <w:rPr>
          <w:rFonts w:ascii="Times New Roman" w:hAnsi="Times New Roman"/>
          <w:color w:val="000000"/>
          <w:sz w:val="22"/>
        </w:rPr>
        <w:t>, (y) subject itself to general taxation in any such jurisdiction, or (z) file a general consent to service of process in any such jurisdiction. The Company shall promptly notify the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As promptly as reasonably practicable after becoming aware of such event or facts, the Company shall notify the Investor of the happening of any event or existence of such facts as a result of which the prospectus included in any Registration Statement, as then in effect, includes an untrue statement of a material fact or omits to state a material fact required to be stated therein or necessary to make the statements therein, in light of the circumstances under which they were made, not misleading (provided that in no event shall such notice contain any material, non-public information regarding the Company), and promptly prepare a supplement or amendment to such Registration Statement to correct such untrue statement or omission, and deliver a copy of such supplement or amendment to the Investor (or such other number of copies as the Investor may reasonably request). The Company shall also promptly notify the Investor in writing (i) when a prospectus or any prospectus supplement or post-effective amendment has been filed, and when a Registration Statement or any post-effective amendment has become effective (notification of such effectiveness shall be delivered to the Investor by email on the same day of such effectiveness or by overnight mail), (ii) of any request by the SEC for amendments or supplements to any Registration Statement or related prospectus or related information, and (iii) of the Company’s reasonable determination that a post-effective amendment to a Registration Statement would be appropriate.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 The Company shall use its commercially reasonable efforts to prevent the issuance of any stop order or other suspension of effectiveness of any Registration Statement, or the suspension of the qualification of any Registrable Securities for sale in any jurisdiction and, if such an order or suspension is issued, to obtain the withdrawal of such order or suspension at the earliest possible moment and to notify the Investor of the issuance of such order and the resolution thereof or its receipt of actual notice of the initiation or threat of any proceeding for such purpose.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g. The Company shall (i) cause all the Registrable Securities to be listed on each securities exchange on which securities of the same class or series issued by the Company are then listed,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if any, if the listing of such Registrable Securities is then permitted under the rules of such exchange, or (ii) secure designation and quotation of all the Registrable Securities on the Principal Market. The Company shall pay all fees and expenses in connection with satisfying its obligation under this </w:t>
      </w:r>
      <w:r>
        <w:rPr>
          <w:rFonts w:ascii="Times New Roman" w:hAnsi="Times New Roman"/>
          <w:color w:val="000000"/>
          <w:sz w:val="22"/>
          <w:u w:val="single"/>
        </w:rPr>
        <w:t>Section 3(g)</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h. The Company shall comply with </w:t>
      </w:r>
      <w:r>
        <w:rPr>
          <w:rFonts w:ascii="Times New Roman" w:hAnsi="Times New Roman"/>
          <w:color w:val="000000"/>
          <w:sz w:val="22"/>
          <w:u w:val="single"/>
        </w:rPr>
        <w:t>Section 6(b)</w:t>
      </w:r>
      <w:r>
        <w:rPr>
          <w:rFonts w:ascii="Times New Roman" w:hAnsi="Times New Roman"/>
          <w:color w:val="000000"/>
          <w:sz w:val="20"/>
        </w:rPr>
        <w:t xml:space="preserve"> </w:t>
      </w:r>
      <w:r>
        <w:rPr>
          <w:rFonts w:ascii="Times New Roman" w:hAnsi="Times New Roman"/>
          <w:color w:val="000000"/>
          <w:sz w:val="22"/>
        </w:rPr>
        <w:t>of the Purchase Agreement with respect to the issuance of Registrable Securities.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The Company shall at all times provide a transfer agent and registrar with respect to its Common Stock.</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j. If reasonably requested in writing by the Investor, the Company shall (i) as soon as reasonably practicable after receipt of written notice from the Investor, incorporate in a prospectus supplement or post-effective amendment such information as the Investor reasonably believes necessary to be included therein relating to the sale and distribution of Registrable Securities, including, without limitation, information with respect to the number of Registrable Securities being sold, the purchase price being paid therefor and any other terms of the offering of the Registrable Securities; (ii) make all required filings of such prospectus supplement or post-effective amendment as soon as reasonably practicable after being notified of the matters to be incorporated in such prospectus supplement or post-effective amendment; and (iii) supplement or make amendments to any Registration Statement.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 The Company shall use its commercially reasonable efforts to cause the Registrable Securities covered by any Registration Statement to be registered with or approved by such other governmental agencies or authorities as may be necessary to consummate the disposition of such Registrable Securities.</w:t>
      </w:r>
    </w:p>
    <w:p>
      <w:pPr>
        <w:pStyle w:val="TextBody"/>
        <w:bidi w:val="0"/>
        <w:jc w:val="both"/>
        <w:rPr>
          <w:rFonts w:ascii="Times New Roman" w:hAnsi="Times New Roman"/>
          <w:sz w:val="20"/>
        </w:rPr>
      </w:pPr>
      <w:r>
        <w:rPr>
          <w:rFonts w:ascii="Times New Roman" w:hAnsi="Times New Roman"/>
          <w:color w:val="000000"/>
          <w:sz w:val="22"/>
        </w:rPr>
        <w:t>l. On the date any Registration Statement which includes the Registrable Securities is declared effective by the SEC, the Company shall deliver, or shall cause legal counsel for the Company to deliver, to the transfer agent for such Registrable Securities (with copies to the Investor), confirmation that such Registration Statement has been declared effective by the SEC in a form acceptable to the transfer agent. Thereafter, if reasonably requested by the Investor at any time, the Company (acting directly or through its counsel) shall deliver to the Investor, which may be via e-mail, a written confirmation whether or not the effectiveness of such Registration Statement has lapsed at any time for any reason (including, without limitation, the issuance of a stop order by the SEC) and whether or not the Registration Statement is available to the Investor for sale of all of the Registrable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m. Company agrees to take all other reasonable actions as necessary and reasonably requested in writing by the Investor to expedite and facilitate disposition by the Investor of the Registrable Securities pursuant to any Registration Statement.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OBLIGATIONS OF THE INVESTOR</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The Company shall notify the Investor in writing of the information the Company reasonably requires from the Investor in connection with any Registration Statement hereunder. The Investor shall as soon as reasonably practicable furnish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b. The Investor agrees to cooperate with the Company as reasonably requested by the Company in connection with the preparation and filing of any Registration Statement hereunder and any amendments and supplements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 The Investor agrees that, upon receipt of any notice from the Company of the happening of any event or existence of facts of the kind described in </w:t>
      </w:r>
      <w:r>
        <w:rPr>
          <w:rFonts w:ascii="Times New Roman" w:hAnsi="Times New Roman"/>
          <w:color w:val="000000"/>
          <w:sz w:val="22"/>
          <w:u w:val="single"/>
        </w:rPr>
        <w:t>Section 3(f)</w:t>
      </w:r>
      <w:r>
        <w:rPr>
          <w:rFonts w:ascii="Times New Roman" w:hAnsi="Times New Roman"/>
          <w:color w:val="000000"/>
          <w:sz w:val="20"/>
        </w:rPr>
        <w:t xml:space="preserve"> </w:t>
      </w:r>
      <w:r>
        <w:rPr>
          <w:rFonts w:ascii="Times New Roman" w:hAnsi="Times New Roman"/>
          <w:color w:val="000000"/>
          <w:sz w:val="22"/>
        </w:rPr>
        <w:t xml:space="preserve">hereof or the first sentence of </w:t>
      </w:r>
      <w:r>
        <w:rPr>
          <w:rFonts w:ascii="Times New Roman" w:hAnsi="Times New Roman"/>
          <w:color w:val="000000"/>
          <w:sz w:val="22"/>
          <w:u w:val="single"/>
        </w:rPr>
        <w:t>Section 3(e)</w:t>
      </w:r>
      <w:r>
        <w:rPr>
          <w:rFonts w:ascii="Times New Roman" w:hAnsi="Times New Roman"/>
          <w:color w:val="000000"/>
          <w:sz w:val="20"/>
        </w:rPr>
        <w:t xml:space="preserve"> </w:t>
      </w:r>
      <w:r>
        <w:rPr>
          <w:rFonts w:ascii="Times New Roman" w:hAnsi="Times New Roman"/>
          <w:color w:val="000000"/>
          <w:sz w:val="22"/>
        </w:rPr>
        <w:t xml:space="preserve">hereof, the Investor will immediately discontinue disposition of Registrable Securities pursuant to any Registration Statement(s) covering such Registrable Securities until the Investor’s receipt of the copies of a notice regarding the resolution or withdrawal of the stop order or suspension as contemplated by </w:t>
      </w:r>
      <w:r>
        <w:rPr>
          <w:rFonts w:ascii="Times New Roman" w:hAnsi="Times New Roman"/>
          <w:color w:val="000000"/>
          <w:sz w:val="22"/>
          <w:u w:val="single"/>
        </w:rPr>
        <w:t>Section 3(f)</w:t>
      </w:r>
      <w:r>
        <w:rPr>
          <w:rFonts w:ascii="Times New Roman" w:hAnsi="Times New Roman"/>
          <w:color w:val="000000"/>
          <w:sz w:val="20"/>
        </w:rPr>
        <w:t xml:space="preserve"> </w:t>
      </w:r>
      <w:r>
        <w:rPr>
          <w:rFonts w:ascii="Times New Roman" w:hAnsi="Times New Roman"/>
          <w:color w:val="000000"/>
          <w:sz w:val="22"/>
        </w:rPr>
        <w:t xml:space="preserve">hereof or the supplemented or amended prospectus as contemplated by the first sentence of </w:t>
      </w:r>
      <w:r>
        <w:rPr>
          <w:rFonts w:ascii="Times New Roman" w:hAnsi="Times New Roman"/>
          <w:color w:val="000000"/>
          <w:sz w:val="22"/>
          <w:u w:val="single"/>
        </w:rPr>
        <w:t>Section 3(e)</w:t>
      </w:r>
      <w:r>
        <w:rPr>
          <w:rFonts w:ascii="Times New Roman" w:hAnsi="Times New Roman"/>
          <w:color w:val="000000"/>
          <w:sz w:val="20"/>
        </w:rPr>
        <w:t xml:space="preserve"> </w:t>
      </w:r>
      <w:r>
        <w:rPr>
          <w:rFonts w:ascii="Times New Roman" w:hAnsi="Times New Roman"/>
          <w:color w:val="000000"/>
          <w:sz w:val="22"/>
        </w:rPr>
        <w:t xml:space="preserve">hereof. Notwithstanding anything to the contrary, the Company shall cause its transfer agent to promptly deliver shares of Common Stock without any restrictive legend in accordance with the terms of the Purchase Agreement in connection with any sale of Registrable Securities with respect to which the Investor has entered into a contract for sale prior to the Investor’s receipt of a notice from the Company to the Investor of the happening of any event of the kind described in </w:t>
      </w:r>
      <w:r>
        <w:rPr>
          <w:rFonts w:ascii="Times New Roman" w:hAnsi="Times New Roman"/>
          <w:color w:val="000000"/>
          <w:sz w:val="22"/>
          <w:u w:val="single"/>
        </w:rPr>
        <w:t>Section 3(f)</w:t>
      </w:r>
      <w:r>
        <w:rPr>
          <w:rFonts w:ascii="Times New Roman" w:hAnsi="Times New Roman"/>
          <w:color w:val="000000"/>
          <w:sz w:val="20"/>
        </w:rPr>
        <w:t xml:space="preserve"> </w:t>
      </w:r>
      <w:r>
        <w:rPr>
          <w:rFonts w:ascii="Times New Roman" w:hAnsi="Times New Roman"/>
          <w:color w:val="000000"/>
          <w:sz w:val="22"/>
        </w:rPr>
        <w:t xml:space="preserve">hereof or the first sentence of </w:t>
      </w:r>
      <w:r>
        <w:rPr>
          <w:rFonts w:ascii="Times New Roman" w:hAnsi="Times New Roman"/>
          <w:color w:val="000000"/>
          <w:sz w:val="22"/>
          <w:u w:val="single"/>
        </w:rPr>
        <w:t>Section 3(e)</w:t>
      </w:r>
      <w:r>
        <w:rPr>
          <w:rFonts w:ascii="Times New Roman" w:hAnsi="Times New Roman"/>
          <w:color w:val="000000"/>
          <w:sz w:val="20"/>
        </w:rPr>
        <w:t xml:space="preserve"> </w:t>
      </w:r>
      <w:r>
        <w:rPr>
          <w:rFonts w:ascii="Times New Roman" w:hAnsi="Times New Roman"/>
          <w:color w:val="000000"/>
          <w:sz w:val="22"/>
        </w:rPr>
        <w:t>hereof and for which the Investor has not yet settled.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EXPENSES OF REGISTRATION</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All reasonable expenses of the Company, other than sales or brokerage commissions and fees and disbursements of counsel for, and other expenses of, the Investor, incurred in connection with registrations, filings or qualifications pursuant to </w:t>
      </w:r>
      <w:r>
        <w:rPr>
          <w:rFonts w:ascii="Times New Roman" w:hAnsi="Times New Roman"/>
          <w:color w:val="000000"/>
          <w:sz w:val="22"/>
          <w:u w:val="single"/>
        </w:rPr>
        <w:t>Sections 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3</w:t>
      </w:r>
      <w:r>
        <w:rPr>
          <w:rFonts w:ascii="Times New Roman" w:hAnsi="Times New Roman"/>
          <w:color w:val="000000"/>
          <w:sz w:val="20"/>
        </w:rPr>
        <w:t xml:space="preserve"> </w:t>
      </w:r>
      <w:r>
        <w:rPr>
          <w:rFonts w:ascii="Times New Roman" w:hAnsi="Times New Roman"/>
          <w:color w:val="000000"/>
          <w:sz w:val="22"/>
        </w:rPr>
        <w:t>hereof, including, without limitation, all registration, listing and qualifications fees, printers and accounting fees, and fees and disbursements of counsel for the Company, shall be paid by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INDEMNIFICATION</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 To the fullest extent permitted by law, the Company will, and hereby does, indemnify, hold harmless and defend the Investor, each Person, if any, who controls the Investor, the members, directors, officers, partners, employees, agents, managers, and representatives of the Investor and each Person, if any, who controls the Investor within the meaning of the Securities Act or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(each, an “</w:t>
      </w:r>
      <w:r>
        <w:rPr>
          <w:rFonts w:ascii="Times New Roman" w:hAnsi="Times New Roman"/>
          <w:color w:val="000000"/>
          <w:sz w:val="22"/>
          <w:u w:val="single"/>
        </w:rPr>
        <w:t>Indemnified Person</w:t>
      </w:r>
      <w:r>
        <w:rPr>
          <w:rFonts w:ascii="Times New Roman" w:hAnsi="Times New Roman"/>
          <w:color w:val="000000"/>
          <w:sz w:val="20"/>
        </w:rPr>
        <w:t>”</w:t>
      </w:r>
      <w:r>
        <w:rPr>
          <w:rFonts w:ascii="Times New Roman" w:hAnsi="Times New Roman"/>
          <w:color w:val="000000"/>
          <w:sz w:val="22"/>
        </w:rPr>
        <w:t>), against any losses, claims, damages, liabilities, judgments, fines, penalties, charges, costs, reasonable attorneys’ fees, amounts paid in settlement or reasonable expenses, joint or several (collectively, “</w:t>
      </w:r>
      <w:r>
        <w:rPr>
          <w:rFonts w:ascii="Times New Roman" w:hAnsi="Times New Roman"/>
          <w:color w:val="000000"/>
          <w:sz w:val="22"/>
          <w:u w:val="single"/>
        </w:rPr>
        <w:t>Claims</w:t>
      </w:r>
      <w:r>
        <w:rPr>
          <w:rFonts w:ascii="Times New Roman" w:hAnsi="Times New Roman"/>
          <w:color w:val="000000"/>
          <w:sz w:val="20"/>
        </w:rPr>
        <w:t>”</w:t>
      </w:r>
      <w:r>
        <w:rPr>
          <w:rFonts w:ascii="Times New Roman" w:hAnsi="Times New Roman"/>
          <w:color w:val="000000"/>
          <w:sz w:val="22"/>
        </w:rPr>
        <w:t>), in each case, reasonably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party is or may be a party thereto (“</w:t>
      </w:r>
      <w:r>
        <w:rPr>
          <w:rFonts w:ascii="Times New Roman" w:hAnsi="Times New Roman"/>
          <w:color w:val="000000"/>
          <w:sz w:val="22"/>
          <w:u w:val="single"/>
        </w:rPr>
        <w:t>Indemnified Damages</w:t>
      </w:r>
      <w:r>
        <w:rPr>
          <w:rFonts w:ascii="Times New Roman" w:hAnsi="Times New Roman"/>
          <w:color w:val="000000"/>
          <w:sz w:val="20"/>
        </w:rPr>
        <w:t>”</w:t>
      </w:r>
      <w:r>
        <w:rPr>
          <w:rFonts w:ascii="Times New Roman" w:hAnsi="Times New Roman"/>
          <w:color w:val="000000"/>
          <w:sz w:val="22"/>
        </w:rPr>
        <w:t>), to which any of them may become subject insofar as such Claims (or actions or proceedings, whether commenced or threatened, in respect thereof) arise out of or are based upon: (i) any untrue statement or alleged untrue statement of a material fact in the Registration Statement, any New Registration Statement or any post-effective amendment thereto or in any filing made in connection with the qualification of the offering under the securities or other “blue sky” laws of any jurisdiction in which Registrable Securities are offered, or the omission or alleged omission to state a material fact required to be stated therein or necessary to make the statements therein not misleading, (ii) any untrue statement or alleged untrue statement of a material fact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(iii) any violation or alleged violation by the Company of the Securities Act, the Exchange Act, any other law, including, without limitation, any state securities law, or any rule or regulation thereunder relating to the offer or sale of the Registrable Securities pursuant to the Registration Statement or any New Registration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Statement or (iv) any material violation by the Company of this Agreement (the matters in the foregoing clauses (i) through (iv) being, collectively, “</w:t>
      </w:r>
      <w:r>
        <w:rPr>
          <w:rFonts w:ascii="Times New Roman" w:hAnsi="Times New Roman"/>
          <w:color w:val="000000"/>
          <w:sz w:val="22"/>
          <w:u w:val="single"/>
        </w:rPr>
        <w:t>Violations</w:t>
      </w:r>
      <w:r>
        <w:rPr>
          <w:rFonts w:ascii="Times New Roman" w:hAnsi="Times New Roman"/>
          <w:color w:val="000000"/>
          <w:sz w:val="20"/>
        </w:rPr>
        <w:t>”</w:t>
      </w:r>
      <w:r>
        <w:rPr>
          <w:rFonts w:ascii="Times New Roman" w:hAnsi="Times New Roman"/>
          <w:color w:val="000000"/>
          <w:sz w:val="22"/>
        </w:rPr>
        <w:t xml:space="preserve">). The Company shall reimburse each Indemnified Person promptly as such expenses are incurred and are due and payable, for any reasonable, out-of-pocket and documented legal fees or other reasonable, out-of-pocket and documented expenses incurred by them in connection with investigating or defending any such Claim. Notwithstanding anything to the contrary contained herein, the indemnification agreement contained in this </w:t>
      </w:r>
      <w:r>
        <w:rPr>
          <w:rFonts w:ascii="Times New Roman" w:hAnsi="Times New Roman"/>
          <w:color w:val="000000"/>
          <w:sz w:val="22"/>
          <w:u w:val="single"/>
        </w:rPr>
        <w:t>Section 6(a)</w:t>
      </w:r>
      <w:r>
        <w:rPr>
          <w:rFonts w:ascii="Times New Roman" w:hAnsi="Times New Roman"/>
          <w:color w:val="000000"/>
          <w:sz w:val="22"/>
        </w:rPr>
        <w:t xml:space="preserve">: (i) shall not apply to a Claim by an Indemnified Person arising out of or based upon a Violation which occurs in reliance upon and in conformity with information about the Investor furnished in writing to the Company by such Indemnified Person expressly for use in connection with the preparation of the Registration Statement, any New Registration Statement or any such amendment thereof or supplement thereto or prospectus contained therein, if such Registration Statement, New Registration Statement or amendment thereof or supplement thereto or prospectus was timely made available by the Company pursuant to </w:t>
      </w:r>
      <w:r>
        <w:rPr>
          <w:rFonts w:ascii="Times New Roman" w:hAnsi="Times New Roman"/>
          <w:color w:val="000000"/>
          <w:sz w:val="22"/>
          <w:u w:val="single"/>
        </w:rPr>
        <w:t>Section 3(c)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3(e)</w:t>
      </w:r>
      <w:r>
        <w:rPr>
          <w:rFonts w:ascii="Times New Roman" w:hAnsi="Times New Roman"/>
          <w:color w:val="000000"/>
          <w:sz w:val="20"/>
        </w:rPr>
        <w:t xml:space="preserve"> </w:t>
      </w:r>
      <w:r>
        <w:rPr>
          <w:rFonts w:ascii="Times New Roman" w:hAnsi="Times New Roman"/>
          <w:color w:val="000000"/>
          <w:sz w:val="22"/>
        </w:rPr>
        <w:t xml:space="preserve">hereof; (ii) with respect to any superseded prospectus, shall not inure to the benefit of any Indemnified Person from whom the Indemnified Person asserting any such Claim purchased the Registrable Securities that are the subject thereof (or to the benefit of any person controlling such Indemnified Person) if the untrue statement or omission of material fact contained in the superseded prospectus was corrected in the revised prospectus, as then amended or supplemented, if such revised prospectus was timely made available by the Company pursuant to </w:t>
      </w:r>
      <w:r>
        <w:rPr>
          <w:rFonts w:ascii="Times New Roman" w:hAnsi="Times New Roman"/>
          <w:color w:val="000000"/>
          <w:sz w:val="22"/>
          <w:u w:val="single"/>
        </w:rPr>
        <w:t>Section 3(c)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3(e)</w:t>
      </w:r>
      <w:r>
        <w:rPr>
          <w:rFonts w:ascii="Times New Roman" w:hAnsi="Times New Roman"/>
          <w:color w:val="000000"/>
          <w:sz w:val="22"/>
        </w:rPr>
        <w:t xml:space="preserve">, and the Indemnified Person was promptly advised in writing not to use the incorrect prospectus prior to the use giving rise to a violation and such Indemnified Person, notwithstanding such advice, used it; (iii) shall not be available to the extent such Claim is based on a failure of the Investor to provide notice or to deliver or to cause to be delivered the prospectus made available by the Company, if such prospectus was timely made available by the Company pursuant to </w:t>
      </w:r>
      <w:r>
        <w:rPr>
          <w:rFonts w:ascii="Times New Roman" w:hAnsi="Times New Roman"/>
          <w:color w:val="000000"/>
          <w:sz w:val="22"/>
          <w:u w:val="single"/>
        </w:rPr>
        <w:t>Section 3(c)</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3(e)</w:t>
      </w:r>
      <w:r>
        <w:rPr>
          <w:rFonts w:ascii="Times New Roman" w:hAnsi="Times New Roman"/>
          <w:color w:val="000000"/>
          <w:sz w:val="22"/>
        </w:rPr>
        <w:t>; (iv) shall not apply to amounts paid in settlement of any Claim if such settlement is effected without the prior written consent of the Company, which consent shall not be unreasonably withheld, delayed or conditioned</w:t>
      </w:r>
      <w:r>
        <w:rPr>
          <w:rFonts w:ascii="Times New Roman" w:hAnsi="Times New Roman"/>
          <w:color w:val="FF0000"/>
          <w:sz w:val="20"/>
        </w:rPr>
        <w:t xml:space="preserve"> </w:t>
      </w:r>
      <w:r>
        <w:rPr>
          <w:rFonts w:ascii="Times New Roman" w:hAnsi="Times New Roman"/>
          <w:color w:val="000000"/>
          <w:sz w:val="22"/>
        </w:rPr>
        <w:t xml:space="preserve">and (v) shall not apply if and to the extent any Claim arises due to the gross negligence, fraud or willful misconduct of any Indemnified Person, as determined by a court of competent jurisdiction. Such indemnity shall remain in full force and effect regardless of any investigation made by or on behalf of the Indemnified Person and shall survive the transfer of the rights and obligations hereunder pursuant to </w:t>
      </w:r>
      <w:r>
        <w:rPr>
          <w:rFonts w:ascii="Times New Roman" w:hAnsi="Times New Roman"/>
          <w:color w:val="000000"/>
          <w:sz w:val="22"/>
          <w:u w:val="single"/>
        </w:rPr>
        <w:t>Section 9</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 In connection with the Registration Statement or any New Registration Statement, the Investor agrees to indemnify, hold harmless and defend, to the same extent and in the same manner as is set forth in </w:t>
      </w:r>
      <w:r>
        <w:rPr>
          <w:rFonts w:ascii="Times New Roman" w:hAnsi="Times New Roman"/>
          <w:color w:val="000000"/>
          <w:sz w:val="22"/>
          <w:u w:val="single"/>
        </w:rPr>
        <w:t>Section 6(a)</w:t>
      </w:r>
      <w:r>
        <w:rPr>
          <w:rFonts w:ascii="Times New Roman" w:hAnsi="Times New Roman"/>
          <w:color w:val="000000"/>
          <w:sz w:val="20"/>
        </w:rPr>
        <w:t xml:space="preserve"> </w:t>
      </w:r>
      <w:r>
        <w:rPr>
          <w:rFonts w:ascii="Times New Roman" w:hAnsi="Times New Roman"/>
          <w:color w:val="000000"/>
          <w:sz w:val="22"/>
        </w:rPr>
        <w:t>hereof, the Company, each of its directors, each of its officers who signs the Registration Statement or any New Registration Statement, each Person, if any, who controls the Company within the meaning of the Securities Act or the Exchange Act (collectively and together with an Indemnified Person, an “</w:t>
      </w:r>
      <w:r>
        <w:rPr>
          <w:rFonts w:ascii="Times New Roman" w:hAnsi="Times New Roman"/>
          <w:color w:val="000000"/>
          <w:sz w:val="22"/>
          <w:u w:val="single"/>
        </w:rPr>
        <w:t>Indemnified Party</w:t>
      </w:r>
      <w:r>
        <w:rPr>
          <w:rFonts w:ascii="Times New Roman" w:hAnsi="Times New Roman"/>
          <w:color w:val="000000"/>
          <w:sz w:val="20"/>
        </w:rPr>
        <w:t>”</w:t>
      </w:r>
      <w:r>
        <w:rPr>
          <w:rFonts w:ascii="Times New Roman" w:hAnsi="Times New Roman"/>
          <w:color w:val="000000"/>
          <w:sz w:val="22"/>
        </w:rPr>
        <w:t xml:space="preserve">), against any Claim or Indemnified Damages to which any of them may become subject, under the Securities Act, the Exchange Act or otherwise, insofar as such Claim or Indemnified Damages arise out of or are based upon any Violation, in each case to the extent, and only to the extent, that such Violation occurs in reliance upon and in conformity with written information about the Investor set forth on </w:t>
      </w:r>
      <w:r>
        <w:rPr>
          <w:rFonts w:ascii="Times New Roman" w:hAnsi="Times New Roman"/>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 xml:space="preserve">attached hereto and furnished to the Company by the Investor expressly for use in connection with such Registration Statement (as such information about the Investor may be updated and furnished to the Company by the Investor expressly for use in connection with any New Registration Statement or prospectus); and, subject to </w:t>
      </w:r>
      <w:r>
        <w:rPr>
          <w:rFonts w:ascii="Times New Roman" w:hAnsi="Times New Roman"/>
          <w:color w:val="000000"/>
          <w:sz w:val="22"/>
          <w:u w:val="single"/>
        </w:rPr>
        <w:t>Section 6(d)</w:t>
      </w:r>
      <w:r>
        <w:rPr>
          <w:rFonts w:ascii="Times New Roman" w:hAnsi="Times New Roman"/>
          <w:color w:val="000000"/>
          <w:sz w:val="20"/>
        </w:rPr>
        <w:t xml:space="preserve"> </w:t>
      </w:r>
      <w:r>
        <w:rPr>
          <w:rFonts w:ascii="Times New Roman" w:hAnsi="Times New Roman"/>
          <w:color w:val="000000"/>
          <w:sz w:val="22"/>
        </w:rPr>
        <w:t xml:space="preserve">hereof, the Investor will reimburse any legal or other expenses reasonably incurred by any Indemnified Party in connection with investigating or defending any such Claim; provided, however, that the indemnity agreement contained in this </w:t>
      </w:r>
      <w:r>
        <w:rPr>
          <w:rFonts w:ascii="Times New Roman" w:hAnsi="Times New Roman"/>
          <w:color w:val="000000"/>
          <w:sz w:val="22"/>
          <w:u w:val="single"/>
        </w:rPr>
        <w:t>Section 6(b)</w:t>
      </w:r>
      <w:r>
        <w:rPr>
          <w:rFonts w:ascii="Times New Roman" w:hAnsi="Times New Roman"/>
          <w:color w:val="000000"/>
          <w:sz w:val="20"/>
        </w:rPr>
        <w:t xml:space="preserve"> </w:t>
      </w:r>
      <w:r>
        <w:rPr>
          <w:rFonts w:ascii="Times New Roman" w:hAnsi="Times New Roman"/>
          <w:color w:val="000000"/>
          <w:sz w:val="22"/>
        </w:rPr>
        <w:t xml:space="preserve">and the agreement with respect to contribution contained in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 xml:space="preserve">hereof shall not apply to amounts paid in settlement of any Claim if such settlement is effected without the prior written consent of the Investor, which consent shall not be unreasonably withheld, delayed or conditioned; provided, further, however, that the Investor shall be liable under this </w:t>
      </w:r>
      <w:r>
        <w:rPr>
          <w:rFonts w:ascii="Times New Roman" w:hAnsi="Times New Roman"/>
          <w:color w:val="000000"/>
          <w:sz w:val="22"/>
          <w:u w:val="single"/>
        </w:rPr>
        <w:t>Section 6(b)</w:t>
      </w:r>
      <w:r>
        <w:rPr>
          <w:rFonts w:ascii="Times New Roman" w:hAnsi="Times New Roman"/>
          <w:color w:val="000000"/>
          <w:sz w:val="20"/>
        </w:rPr>
        <w:t xml:space="preserve"> </w:t>
      </w:r>
      <w:r>
        <w:rPr>
          <w:rFonts w:ascii="Times New Roman" w:hAnsi="Times New Roman"/>
          <w:color w:val="000000"/>
          <w:sz w:val="22"/>
        </w:rPr>
        <w:t>for only that amount of a Claim or Indemnified Damages as does not exceed the net proceeds to the Investor as a result of the sale of Registrable Securities pursuant to such Registration Statement. Such indemnity shall remain in full force and effect regardless of any</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investigation made by or on behalf of such Indemnified Party and shall survive the transfer of the Registrable Securities by the Investor pursuant to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hereof.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c. Promptly after receipt by an Indemnified Person or Indemnified Party under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hAnsi="Times New Roman"/>
          <w:color w:val="000000"/>
          <w:sz w:val="22"/>
          <w:u w:val="single"/>
        </w:rPr>
        <w:t>Section 6</w:t>
      </w:r>
      <w:r>
        <w:rPr>
          <w:rFonts w:ascii="Times New Roman" w:hAnsi="Times New Roman"/>
          <w:color w:val="000000"/>
          <w:sz w:val="22"/>
        </w:rPr>
        <w:t xml:space="preserve">, deliver to the indemnifying party a written notice of the commencement thereof, and the indemnifying party shall have the right to participate in, and, to the extent the indemnifying party so desires, jointly with any other indemnifying party similarly notified, to assume control of the defense thereof with counsel mutually satisfactory to the indemnifying party and the Indemnified Person or the Indemnified Party, as the case may be; provided, however, that an Indemnified Person or Indemnified Party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fully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at all times as to the status of the defense or any settlement negotiations with respect thereto. No indemnifying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which does not include as an unconditional term thereof the giving by the claimant or plaintiff to such Indemnified Party or Indemnified Person of a release from all liability in respect to such claim or litigation.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hAnsi="Times New Roman"/>
          <w:color w:val="000000"/>
          <w:sz w:val="22"/>
          <w:u w:val="single"/>
        </w:rPr>
        <w:t>Section 6</w:t>
      </w:r>
      <w:r>
        <w:rPr>
          <w:rFonts w:ascii="Times New Roman" w:hAnsi="Times New Roman"/>
          <w:color w:val="000000"/>
          <w:sz w:val="22"/>
        </w:rPr>
        <w:t>, except to the extent that the indemnifying party is prejudiced in its ability to defend such action.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d. The indemnification required by this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 xml:space="preserve">shall be made by periodic payments of the amount thereof during the course of the investigation or defense, as and when bills are received or Indemnified Damages are incurred; provided that (i) the Investor shall promptly reimburse the Company for all such payments if and to the extent it is ultimately determined, by a final and non-appealable order of a court of competent jurisdiction, that the Indemnified Person or Indemnified Party is not entitled to be indemnified by the Company for any such Indemnified Damages pursuant to this </w:t>
      </w:r>
      <w:r>
        <w:rPr>
          <w:rFonts w:ascii="Times New Roman" w:hAnsi="Times New Roman"/>
          <w:color w:val="000000"/>
          <w:sz w:val="22"/>
          <w:u w:val="single"/>
        </w:rPr>
        <w:t>Section 6</w:t>
      </w:r>
      <w:r>
        <w:rPr>
          <w:rFonts w:ascii="Times New Roman" w:hAnsi="Times New Roman"/>
          <w:color w:val="000000"/>
          <w:sz w:val="22"/>
        </w:rPr>
        <w:t xml:space="preserve">, and (ii) the Company shall promptly reimburse the Investor for all such payments if and to the extent it is ultimately determined, by a final and non-appealable order of a court of competent jurisdiction, that the Indemnified Person or Indemnified Party is not entitled to be indemnified by the Investor for any such Indemnified Damages pursuant to this </w:t>
      </w:r>
      <w:r>
        <w:rPr>
          <w:rFonts w:ascii="Times New Roman" w:hAnsi="Times New Roman"/>
          <w:color w:val="000000"/>
          <w:sz w:val="22"/>
          <w:u w:val="single"/>
        </w:rPr>
        <w:t>Section 6</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The indemnity agreements contained herein shall be in addition to (i) any cause of action or similar right of the Indemnified Party or Indemnified Person against the indemnifying party or others, and (ii) any liabilities the indemnifying party may be subject to pursuant to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CONTRIBUTION</w:t>
      </w:r>
      <w:r>
        <w:rPr>
          <w:rFonts w:ascii="Times New Roman" w:hAnsi="Times New Roman"/>
          <w:color w:val="000000"/>
          <w:sz w:val="22"/>
        </w:rPr>
        <w:t>.</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hereof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received by such seller from the sale of such Registrable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REPORTS AND DISCLOSURE UNDER THE SECURITIES ACT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With a view to making available to the Investor the benefits of Rule 144 promulgated under the Securities Act or any other similar rule or regulation of the SEC that may at any time permit the Investor to sell securities of the Company to the public without registration (“</w:t>
      </w:r>
      <w:r>
        <w:rPr>
          <w:rFonts w:ascii="Times New Roman" w:hAnsi="Times New Roman"/>
          <w:color w:val="000000"/>
          <w:sz w:val="22"/>
          <w:u w:val="single"/>
        </w:rPr>
        <w:t>Rule 144</w:t>
      </w:r>
      <w:r>
        <w:rPr>
          <w:rFonts w:ascii="Times New Roman" w:hAnsi="Times New Roman"/>
          <w:color w:val="000000"/>
          <w:sz w:val="20"/>
        </w:rPr>
        <w:t>”</w:t>
      </w:r>
      <w:r>
        <w:rPr>
          <w:rFonts w:ascii="Times New Roman" w:hAnsi="Times New Roman"/>
          <w:color w:val="000000"/>
          <w:sz w:val="22"/>
        </w:rPr>
        <w:t>), the Company agrees, at the Company’s sole expense, so long as the Investor owns Registrable Securities, to use commercially reasonable efforts to: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make and keep public information available, as those terms are understood and defined in Rule 144;</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 furnish to the Investor so long as the Investor owns Registrable Securities, promptly upon request, (i) a written statement by the Company that it has complied with the reporting and or disclosure provisions of Rule 144, the Securities Act and the Exchange Act, (ii) a copy of the most recent annual or quarterly report of the Company and such other reports and documents so filed by the Company, and (iii) such other information as may be reasonably requested to permit the Investor to sell such securities pursuant to Rule 144 without registration; and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take such additional action as is reasonably requested by the Investor to enable the Investor to sell the Registrable Securities pursuant to Rule 144, including, without limitation, delivering all such legal opinions, consents, certificates, resolutions and instructions to the Company’s transfer agent as may be reasonably requested from time to time by the Investor and otherwise fully cooperate with Investor and Investor’s broker to effect such sale of securities pursuant to Rule 144.</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The Company agrees that damages may be an inadequate remedy for any breach of the terms and provisions of this </w:t>
      </w:r>
      <w:r>
        <w:rPr>
          <w:rFonts w:ascii="Times New Roman" w:hAnsi="Times New Roman"/>
          <w:color w:val="000000"/>
          <w:sz w:val="22"/>
          <w:u w:val="single"/>
        </w:rPr>
        <w:t>Section 8</w:t>
      </w:r>
      <w:r>
        <w:rPr>
          <w:rFonts w:ascii="Times New Roman" w:hAnsi="Times New Roman"/>
          <w:color w:val="000000"/>
          <w:sz w:val="20"/>
        </w:rPr>
        <w:t xml:space="preserve"> </w:t>
      </w:r>
      <w:r>
        <w:rPr>
          <w:rFonts w:ascii="Times New Roman" w:hAnsi="Times New Roman"/>
          <w:color w:val="000000"/>
          <w:sz w:val="22"/>
        </w:rPr>
        <w:t>and that Investor shall, whether or not it is pursuing any remedies at law, be entitled to seek equitable relief in the form of a preliminary or permanent injunction, without having to post any bond or other security, upon any breach or threatened breach of any such terms or provisions.</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color w:val="000000"/>
          <w:sz w:val="22"/>
          <w:u w:val="single"/>
        </w:rPr>
        <w:t>ASSIGNMENT OF REGISTRATION RIGHTS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shall not assign this Agreement or any rights or obligations hereunder without the prior written consent of the Investor; provided, however, that any transaction, whether by merger, reorganization, restructuring, consolidation, financing or otherwise, whereby the Company remains the surviving entity immediately after such transaction shall not be deemed an assignment. The Investor may not assign its rights under this Agreement without the prior written consent of the Company, other than to an affiliate of the Investor controlled by Jonathan Cope or Josh Scheinfeld, in which case the assignee must agree in writing to be bound by the terms and conditions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AMENDMENT OF REGISTRATION RIGHTS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No provision of this Agreement may be amended or waived by the parties from and after the date that is one (1) Business Day immediately preceding the initial filing of the Registration Statement with the SEC. Subject to the immediately preceding sentence, no provision of this Agreement may be (i) amended other than by a written instrument signed by both parties hereto or (ii) waived other than in a written instrument signed by the party against whom enforcement of such waiver is sought. Failure of any party to exercise any right or remedy under this Agreement or otherwise, or delay by a party in exercising such right or remedy, shall not operate as a waiver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MISCELLANEOUS</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the registered owner of such Registrable Securities.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Any notices, consents, waivers or other communications required or permitted to be given under the terms of this Agreement must be in writing and will be deemed to have been delivered: (i) upon receipt, when delivered personally; (ii) upon receipt, when sent by email (provided confirmation of transmission is mechanically or electronically generated and kept on file by the sending party); or (iii) one (1) Business Day after deposit with a nationally recognized overnight delivery service, in each case properly addressed to the party to receive the same. The addresses for such communications shall be:</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Company:</w:t>
      </w:r>
    </w:p>
    <w:p>
      <w:pPr>
        <w:pStyle w:val="TextBody"/>
        <w:bidi w:val="0"/>
        <w:jc w:val="left"/>
        <w:rPr>
          <w:rFonts w:ascii="Times New Roman" w:hAnsi="Times New Roman"/>
          <w:color w:val="000000"/>
          <w:sz w:val="22"/>
        </w:rPr>
      </w:pPr>
      <w:r>
        <w:rPr>
          <w:rFonts w:ascii="Times New Roman" w:hAnsi="Times New Roman"/>
          <w:color w:val="000000"/>
          <w:sz w:val="22"/>
        </w:rPr>
        <w:t>FTC Solar, Inc.</w:t>
      </w:r>
    </w:p>
    <w:p>
      <w:pPr>
        <w:pStyle w:val="TextBody"/>
        <w:bidi w:val="0"/>
        <w:jc w:val="left"/>
        <w:rPr>
          <w:rFonts w:ascii="Times New Roman" w:hAnsi="Times New Roman"/>
          <w:color w:val="000000"/>
          <w:sz w:val="22"/>
        </w:rPr>
      </w:pPr>
      <w:r>
        <w:rPr>
          <w:rFonts w:ascii="Times New Roman" w:hAnsi="Times New Roman"/>
          <w:color w:val="000000"/>
          <w:sz w:val="22"/>
        </w:rPr>
        <w:t>10900 Stonelake Boulevard, Suite 100, Quarry Oaks II Building</w:t>
      </w:r>
    </w:p>
    <w:p>
      <w:pPr>
        <w:pStyle w:val="TextBody"/>
        <w:bidi w:val="0"/>
        <w:jc w:val="left"/>
        <w:rPr>
          <w:rFonts w:ascii="Times New Roman" w:hAnsi="Times New Roman"/>
          <w:color w:val="000000"/>
          <w:sz w:val="22"/>
        </w:rPr>
      </w:pPr>
      <w:r>
        <w:rPr>
          <w:rFonts w:ascii="Times New Roman" w:hAnsi="Times New Roman"/>
          <w:color w:val="000000"/>
          <w:sz w:val="22"/>
        </w:rPr>
        <w:t>Austin, TX 78759</w:t>
      </w:r>
    </w:p>
    <w:p>
      <w:pPr>
        <w:pStyle w:val="TextBody"/>
        <w:bidi w:val="0"/>
        <w:jc w:val="left"/>
        <w:rPr>
          <w:rFonts w:ascii="Times New Roman" w:hAnsi="Times New Roman"/>
          <w:color w:val="000000"/>
          <w:sz w:val="22"/>
        </w:rPr>
      </w:pPr>
      <w:r>
        <w:rPr>
          <w:rFonts w:ascii="Times New Roman" w:hAnsi="Times New Roman"/>
          <w:color w:val="000000"/>
          <w:sz w:val="22"/>
        </w:rPr>
        <w:t>Telephone: [***]</w:t>
      </w:r>
    </w:p>
    <w:p>
      <w:pPr>
        <w:pStyle w:val="TextBody"/>
        <w:bidi w:val="0"/>
        <w:jc w:val="left"/>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 or service of process):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Arnold &amp; Porter Kaye Scholer LLP</w:t>
      </w:r>
    </w:p>
    <w:p>
      <w:pPr>
        <w:pStyle w:val="TextBody"/>
        <w:bidi w:val="0"/>
        <w:jc w:val="both"/>
        <w:rPr>
          <w:rFonts w:ascii="Times New Roman" w:hAnsi="Times New Roman"/>
          <w:color w:val="000000"/>
          <w:sz w:val="22"/>
        </w:rPr>
      </w:pPr>
      <w:r>
        <w:rPr>
          <w:rFonts w:ascii="Times New Roman" w:hAnsi="Times New Roman"/>
          <w:color w:val="000000"/>
          <w:sz w:val="22"/>
        </w:rPr>
        <w:t>250 West 55th Street</w:t>
      </w:r>
    </w:p>
    <w:p>
      <w:pPr>
        <w:pStyle w:val="TextBody"/>
        <w:bidi w:val="0"/>
        <w:jc w:val="both"/>
        <w:rPr>
          <w:rFonts w:ascii="Times New Roman" w:hAnsi="Times New Roman"/>
          <w:color w:val="000000"/>
          <w:sz w:val="22"/>
        </w:rPr>
      </w:pPr>
      <w:r>
        <w:rPr>
          <w:rFonts w:ascii="Times New Roman" w:hAnsi="Times New Roman"/>
          <w:color w:val="000000"/>
          <w:sz w:val="22"/>
        </w:rPr>
        <w:t>New York, NY 10019-9710</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Investor:</w:t>
      </w:r>
    </w:p>
    <w:p>
      <w:pPr>
        <w:pStyle w:val="TextBody"/>
        <w:bidi w:val="0"/>
        <w:jc w:val="both"/>
        <w:rPr>
          <w:rFonts w:ascii="Times New Roman" w:hAnsi="Times New Roman"/>
          <w:color w:val="000000"/>
          <w:sz w:val="22"/>
        </w:rPr>
      </w:pPr>
      <w:r>
        <w:rPr>
          <w:rFonts w:ascii="Times New Roman" w:hAnsi="Times New Roman"/>
          <w:color w:val="000000"/>
          <w:sz w:val="22"/>
        </w:rPr>
        <w:t>Lincoln Park Capital Fund, LLC</w:t>
      </w:r>
    </w:p>
    <w:p>
      <w:pPr>
        <w:pStyle w:val="TextBody"/>
        <w:bidi w:val="0"/>
        <w:jc w:val="both"/>
        <w:rPr>
          <w:rFonts w:ascii="Times New Roman" w:hAnsi="Times New Roman"/>
          <w:color w:val="000000"/>
          <w:sz w:val="22"/>
        </w:rPr>
      </w:pPr>
      <w:r>
        <w:rPr>
          <w:rFonts w:ascii="Times New Roman" w:hAnsi="Times New Roman"/>
          <w:color w:val="000000"/>
          <w:sz w:val="22"/>
        </w:rPr>
        <w:t>415 North LaSalle Drive, Suite 700B</w:t>
      </w:r>
    </w:p>
    <w:p>
      <w:pPr>
        <w:pStyle w:val="TextBody"/>
        <w:bidi w:val="0"/>
        <w:jc w:val="both"/>
        <w:rPr>
          <w:rFonts w:ascii="Times New Roman" w:hAnsi="Times New Roman"/>
          <w:color w:val="000000"/>
          <w:sz w:val="22"/>
        </w:rPr>
      </w:pPr>
      <w:r>
        <w:rPr>
          <w:rFonts w:ascii="Times New Roman" w:hAnsi="Times New Roman"/>
          <w:color w:val="000000"/>
          <w:sz w:val="22"/>
        </w:rPr>
        <w:t>Chicago, IL 60654</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[***]v</w:t>
      </w:r>
    </w:p>
    <w:p>
      <w:pPr>
        <w:pStyle w:val="TextBody"/>
        <w:bidi w:val="0"/>
        <w:jc w:val="both"/>
        <w:rPr>
          <w:rFonts w:ascii="Times New Roman" w:hAnsi="Times New Roman"/>
          <w:color w:val="000000"/>
          <w:sz w:val="22"/>
        </w:rPr>
      </w:pPr>
      <w:r>
        <w:rPr>
          <w:rFonts w:ascii="Times New Roman" w:hAnsi="Times New Roman"/>
          <w:color w:val="000000"/>
          <w:sz w:val="22"/>
        </w:rPr>
        <w:t>With a copy to (which shall not constitute notice or service of process):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K&amp;L Gates, LLP</w:t>
      </w:r>
    </w:p>
    <w:p>
      <w:pPr>
        <w:pStyle w:val="TextBody"/>
        <w:bidi w:val="0"/>
        <w:jc w:val="both"/>
        <w:rPr>
          <w:rFonts w:ascii="Times New Roman" w:hAnsi="Times New Roman"/>
          <w:color w:val="000000"/>
          <w:sz w:val="22"/>
        </w:rPr>
      </w:pPr>
      <w:r>
        <w:rPr>
          <w:rFonts w:ascii="Times New Roman" w:hAnsi="Times New Roman"/>
          <w:color w:val="000000"/>
          <w:sz w:val="22"/>
        </w:rPr>
        <w:t>200 S. Biscayne Blvd., Ste. 3900</w:t>
      </w:r>
    </w:p>
    <w:p>
      <w:pPr>
        <w:pStyle w:val="TextBody"/>
        <w:bidi w:val="0"/>
        <w:jc w:val="both"/>
        <w:rPr>
          <w:rFonts w:ascii="Times New Roman" w:hAnsi="Times New Roman"/>
          <w:color w:val="000000"/>
          <w:sz w:val="22"/>
        </w:rPr>
      </w:pPr>
      <w:r>
        <w:rPr>
          <w:rFonts w:ascii="Times New Roman" w:hAnsi="Times New Roman"/>
          <w:color w:val="000000"/>
          <w:sz w:val="22"/>
        </w:rPr>
        <w:t>Miami, Florida 33131</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Attention: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to the transfer agent:</w:t>
      </w:r>
    </w:p>
    <w:p>
      <w:pPr>
        <w:pStyle w:val="TextBody"/>
        <w:bidi w:val="0"/>
        <w:jc w:val="both"/>
        <w:rPr>
          <w:rFonts w:ascii="Times New Roman" w:hAnsi="Times New Roman"/>
          <w:sz w:val="20"/>
        </w:rPr>
      </w:pPr>
      <w:r>
        <w:rPr>
          <w:rFonts w:ascii="Times New Roman" w:hAnsi="Times New Roman"/>
          <w:color w:val="000000"/>
          <w:sz w:val="22"/>
        </w:rPr>
        <w:t>Continental Stock Transfer and Trust Company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1 State Street 30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Floor,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New York, NY 10004-1561</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Telephone: [***]</w:t>
      </w:r>
    </w:p>
    <w:p>
      <w:pPr>
        <w:pStyle w:val="TextBody"/>
        <w:bidi w:val="0"/>
        <w:jc w:val="both"/>
        <w:rPr>
          <w:rFonts w:ascii="Times New Roman" w:hAnsi="Times New Roman"/>
          <w:color w:val="000000"/>
          <w:sz w:val="22"/>
        </w:rPr>
      </w:pPr>
      <w:r>
        <w:rPr>
          <w:rFonts w:ascii="Times New Roman" w:hAnsi="Times New Roman"/>
          <w:color w:val="000000"/>
          <w:sz w:val="22"/>
        </w:rPr>
        <w:t>E-mail: [***]</w:t>
      </w:r>
    </w:p>
    <w:p>
      <w:pPr>
        <w:pStyle w:val="TextBody"/>
        <w:bidi w:val="0"/>
        <w:jc w:val="both"/>
        <w:rPr>
          <w:rFonts w:ascii="Times New Roman" w:hAnsi="Times New Roman"/>
          <w:color w:val="000000"/>
          <w:sz w:val="22"/>
        </w:rPr>
      </w:pPr>
      <w:r>
        <w:rPr>
          <w:rFonts w:ascii="Times New Roman" w:hAnsi="Times New Roman"/>
          <w:color w:val="000000"/>
          <w:sz w:val="22"/>
        </w:rPr>
        <w:t>Attention: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or at such other address, email address and/or to the attention of such other person as the recipient party has specified by written notice given to each other party at least three (3) Business Days prior to the effectiveness of such change. Written confirmation of receipt (A) given by the recipient of such notice, consent, waiver or other communication, (B) mechanically or electronically generated by the sender’s email account containing the time, date, recipient email address, as applicable, or (C) provided by a nationally recognized overnight delivery service, shall be rebuttable evidence of personal service, receipt by email or receipt from a nationally recognized overnight delivery service in accordance with clause (i), (ii) or (iii) above,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c. The corporate laws of the State of Delaware shall govern all issues concerning the relative rights of the Company and its stockholders. All other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U.S. District Court for the Southern District of New York or, if that court does not have subject matter jurisdiction, in any state court located in the City and County of New York, for the adjudication of any dispute hereunder or under the other Transaction Documents or in connection herewith or therewith, or with any transaction contemplated hereby or discussed herein, and hereby irrevocably waives, and agrees not to assert in any suit, action or proceeding, any claim that it is not personally subject to the jurisdiction of any such court, that such suit, action 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hAnsi="Times New Roman"/>
          <w:b/>
          <w:color w:val="000000"/>
          <w:sz w:val="22"/>
        </w:rPr>
        <w:t>EACH PARTY HEREBY IRREVOCABLY WAIVES ANY RIGHT IT MAY HAVE</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AND AGREES NOT TO REQUEST</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b/>
          <w:color w:val="000000"/>
          <w:sz w:val="22"/>
        </w:rPr>
        <w:t>A JURY TRIAL FOR THE ADJUDICATION OF ANY DISPUTE HEREUNDER OR IN CONNECTION HEREWITH OR ARISING OUT OF THIS AGREEMENT OR ANY TRANSACTION CONTEMPLATED HEREBY</w:t>
      </w:r>
      <w:r>
        <w:rPr>
          <w:rFonts w:ascii="Times New Roman" w:hAnsi="Times New Roman"/>
          <w:color w:val="000000"/>
          <w:sz w:val="22"/>
        </w:rPr>
        <w: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This Agreement and the Purchase Agreement constitute the entire agreement among the parties hereto with respect to the subject matter hereof and thereof. There are no restrictions, promises, warranties or undertakings among the parties hereto, other than those set forth or referred to herein and therein. This Agreement and the Purchase Agreement supersede all prior agreements and understandings among the parties hereto with respect to the subject matter hereof and thereof.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e. Subject to the requirements of </w:t>
      </w:r>
      <w:r>
        <w:rPr>
          <w:rFonts w:ascii="Times New Roman" w:hAnsi="Times New Roman"/>
          <w:color w:val="000000"/>
          <w:sz w:val="22"/>
          <w:u w:val="single"/>
        </w:rPr>
        <w:t>Section 9</w:t>
      </w:r>
      <w:r>
        <w:rPr>
          <w:rFonts w:ascii="Times New Roman" w:hAnsi="Times New Roman"/>
          <w:color w:val="000000"/>
          <w:sz w:val="20"/>
        </w:rPr>
        <w:t xml:space="preserve"> </w:t>
      </w:r>
      <w:r>
        <w:rPr>
          <w:rFonts w:ascii="Times New Roman" w:hAnsi="Times New Roman"/>
          <w:color w:val="000000"/>
          <w:sz w:val="22"/>
        </w:rPr>
        <w:t>hereof, this Agreement shall inure to the benefit of and be binding upon the successors and permitted assigns of each of the parties hereto.</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f. The headings in this Agreement are for convenience of reference only and shall not limit or otherwise affect the meaning hereof.</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g. This Agreement may be executed in identical counterparts, each of which shall be deemed an original but all of which shall constitute one and the same agreement. This Agreement, once executed by a party, may be delivered to the other party hereto by e-mail in a “.pdf” format data file of a copy of this Agreement bearing the signature of the party so delivering this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h.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 The language used in this Agreement will be deemed to be the language chosen by the parties to express their mutual intent and no rules of strict construction will be applied against any party.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j. This Agreement is intended for the benefit of the parties hereto and their respective successors and permitted assigns, and is not for the benefit of, nor may any provision hereof be enforced by, any other Person.</w:t>
      </w:r>
    </w:p>
    <w:p>
      <w:pPr>
        <w:pStyle w:val="TextBody"/>
        <w:bidi w:val="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TERMINATION</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The obligations of the Company contained in </w:t>
      </w:r>
      <w:r>
        <w:rPr>
          <w:rFonts w:ascii="Times New Roman" w:hAnsi="Times New Roman"/>
          <w:color w:val="000000"/>
          <w:sz w:val="22"/>
          <w:u w:val="single"/>
        </w:rPr>
        <w:t>Sections 2</w:t>
      </w:r>
      <w:r>
        <w:rPr>
          <w:rFonts w:ascii="Times New Roman" w:hAnsi="Times New Roman"/>
          <w:color w:val="000000"/>
          <w:sz w:val="22"/>
        </w:rPr>
        <w:t xml:space="preserve">, </w:t>
      </w:r>
      <w:r>
        <w:rPr>
          <w:rFonts w:ascii="Times New Roman" w:hAnsi="Times New Roman"/>
          <w:color w:val="000000"/>
          <w:sz w:val="22"/>
          <w:u w:val="single"/>
        </w:rPr>
        <w:t>3</w:t>
      </w:r>
      <w:r>
        <w:rPr>
          <w:rFonts w:ascii="Times New Roman" w:hAnsi="Times New Roman"/>
          <w:color w:val="000000"/>
          <w:sz w:val="22"/>
        </w:rPr>
        <w:t xml:space="preserve">, </w:t>
      </w:r>
      <w:r>
        <w:rPr>
          <w:rFonts w:ascii="Times New Roman" w:hAnsi="Times New Roman"/>
          <w:color w:val="000000"/>
          <w:sz w:val="22"/>
          <w:u w:val="single"/>
        </w:rPr>
        <w:t>5</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8</w:t>
      </w:r>
      <w:r>
        <w:rPr>
          <w:rFonts w:ascii="Times New Roman" w:hAnsi="Times New Roman"/>
          <w:color w:val="000000"/>
          <w:sz w:val="20"/>
        </w:rPr>
        <w:t xml:space="preserve"> </w:t>
      </w:r>
      <w:r>
        <w:rPr>
          <w:rFonts w:ascii="Times New Roman" w:hAnsi="Times New Roman"/>
          <w:color w:val="000000"/>
          <w:sz w:val="22"/>
        </w:rPr>
        <w:t>of this Agreement shall terminate in their entirety upon the earlier of (i) the date on which the Investor shall have sold all the Registrable Securities and no Available Amount remains under the Purchase Agreement and (ii) 180 days following the earlier of (A) the Maturity Date and (B) the date of termination of the Purchase Agreement; provided that as long as any Registrable Securities remain unsold by the Investor, the Company must make available “current public information” pursuant to Rule 144 promulgated under the Securities Act until the Investor may sell the Securities thereunder without any restrictions (including any restrictions under Rule 144(c) or Rule 144(i)).</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 * * * *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caused this Registration Rights Agreement to be duly executed as of day and year first above written.</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u w:val="single"/>
        </w:rPr>
        <w:t>THE COMPANY</w:t>
      </w:r>
      <w:r>
        <w:rPr>
          <w:rFonts w:ascii="Times New Roman" w:hAnsi="Times New Roman"/>
          <w:b/>
          <w:color w:val="000000"/>
          <w:sz w:val="22"/>
        </w:rPr>
        <w:t>:</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FTC SOLAR, INC.</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Cathy Behnen</w:t>
      </w:r>
    </w:p>
    <w:p>
      <w:pPr>
        <w:pStyle w:val="TextBody"/>
        <w:bidi w:val="0"/>
        <w:jc w:val="both"/>
        <w:rPr>
          <w:rFonts w:ascii="Times New Roman" w:hAnsi="Times New Roman"/>
          <w:color w:val="000000"/>
          <w:sz w:val="22"/>
        </w:rPr>
      </w:pPr>
      <w:r>
        <w:rPr>
          <w:rFonts w:ascii="Times New Roman" w:hAnsi="Times New Roman"/>
          <w:color w:val="000000"/>
          <w:sz w:val="22"/>
        </w:rPr>
        <w:t>Name: Cathy Behnen</w:t>
      </w:r>
    </w:p>
    <w:p>
      <w:pPr>
        <w:pStyle w:val="TextBody"/>
        <w:bidi w:val="0"/>
        <w:jc w:val="both"/>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INVESTOR:</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LINCOLN PARK CAPITAL FUND, LLC</w:t>
      </w:r>
    </w:p>
    <w:p>
      <w:pPr>
        <w:pStyle w:val="TextBody"/>
        <w:bidi w:val="0"/>
        <w:jc w:val="both"/>
        <w:rPr>
          <w:rFonts w:ascii="Times New Roman" w:hAnsi="Times New Roman"/>
          <w:b/>
          <w:color w:val="000000"/>
          <w:sz w:val="22"/>
        </w:rPr>
      </w:pPr>
      <w:r>
        <w:rPr>
          <w:rFonts w:ascii="Times New Roman" w:hAnsi="Times New Roman"/>
          <w:b/>
          <w:color w:val="000000"/>
          <w:sz w:val="22"/>
        </w:rPr>
        <w:t>BY: LINCOLN PARK CAPITAL, LLC</w:t>
      </w:r>
    </w:p>
    <w:p>
      <w:pPr>
        <w:pStyle w:val="TextBody"/>
        <w:bidi w:val="0"/>
        <w:jc w:val="both"/>
        <w:rPr>
          <w:rFonts w:ascii="Times New Roman" w:hAnsi="Times New Roman"/>
          <w:b/>
          <w:color w:val="000000"/>
          <w:sz w:val="22"/>
        </w:rPr>
      </w:pPr>
      <w:r>
        <w:rPr>
          <w:rFonts w:ascii="Times New Roman" w:hAnsi="Times New Roman"/>
          <w:b/>
          <w:color w:val="000000"/>
          <w:sz w:val="22"/>
        </w:rPr>
        <w:t>BY: ROCKLEDGE CAPITAL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/s/ Josh Scheinfeld</w:t>
      </w:r>
    </w:p>
    <w:p>
      <w:pPr>
        <w:pStyle w:val="TextBody"/>
        <w:bidi w:val="0"/>
        <w:jc w:val="both"/>
        <w:rPr>
          <w:rFonts w:ascii="Times New Roman" w:hAnsi="Times New Roman"/>
          <w:color w:val="000000"/>
          <w:sz w:val="22"/>
        </w:rPr>
      </w:pPr>
      <w:r>
        <w:rPr>
          <w:rFonts w:ascii="Times New Roman" w:hAnsi="Times New Roman"/>
          <w:color w:val="000000"/>
          <w:sz w:val="22"/>
        </w:rPr>
        <w:t xml:space="preserve">Name: Josh Scheinfeld </w:t>
      </w:r>
    </w:p>
    <w:p>
      <w:pPr>
        <w:pStyle w:val="TextBody"/>
        <w:bidi w:val="0"/>
        <w:jc w:val="both"/>
        <w:rPr>
          <w:rFonts w:ascii="Times New Roman" w:hAnsi="Times New Roman"/>
          <w:color w:val="000000"/>
          <w:sz w:val="22"/>
        </w:rPr>
      </w:pPr>
      <w:r>
        <w:rPr>
          <w:rFonts w:ascii="Times New Roman" w:hAnsi="Times New Roman"/>
          <w:color w:val="000000"/>
          <w:sz w:val="22"/>
        </w:rPr>
        <w:t xml:space="preserve">Title: President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Information About The Investor Furnished To The Company By The Investor</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Expressly For Use In Connection With The Registration Statement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Information With Respect to Lincoln Park Capital</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As of the date of the Purchase Agreement, Lincoln Park Capital Fund, LLC, beneficially owned zero shares of FTC Solar, Inc. common stock. 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the prospectus filed with the SEC in connection with the transactions contemplated under the Purchase Agreement. Lincoln Park Capital, LLC is not a licensed broker dealer or an affiliate of a licensed broker dealer.”</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IF " DOCVARIABLE "SWDocIDLocation" 1" = "1" "" ""</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bookmarkStart w:id="7" w:name="ftci-ex10_3.htm"/>
      <w:bookmarkStart w:id="8" w:name="ksftciex10_3"/>
      <w:bookmarkEnd w:id="7"/>
      <w:bookmarkEnd w:id="8"/>
      <w:r>
        <w:rPr/>
        <w:t> </w:t>
      </w:r>
      <w:r>
        <w:br w:type="page"/>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10.3</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LIMITED WAIVER AND LIMITED CONSENT TO CREDIT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LIMITED WAIVER AND LIMITED CONSENT TO CREDIT AGREEMENT, dated as of August 4, 2026 (this “</w:t>
      </w:r>
      <w:r>
        <w:rPr>
          <w:rFonts w:ascii="Times New Roman" w:hAnsi="Times New Roman"/>
          <w:b/>
          <w:i/>
          <w:color w:val="000000"/>
          <w:sz w:val="24"/>
        </w:rPr>
        <w:t>Waiver and Consent</w:t>
      </w:r>
      <w:r>
        <w:rPr>
          <w:rFonts w:ascii="Times New Roman" w:hAnsi="Times New Roman"/>
          <w:color w:val="000000"/>
          <w:sz w:val="20"/>
        </w:rPr>
        <w:t>”</w:t>
      </w:r>
      <w:r>
        <w:rPr>
          <w:rFonts w:ascii="Times New Roman" w:hAnsi="Times New Roman"/>
          <w:color w:val="000000"/>
          <w:sz w:val="24"/>
        </w:rPr>
        <w:t>), is entered into by and among FTC Solar, Inc., a Delaware corporation (the “</w:t>
      </w:r>
      <w:r>
        <w:rPr>
          <w:rFonts w:ascii="Times New Roman" w:hAnsi="Times New Roman"/>
          <w:b/>
          <w:i/>
          <w:color w:val="000000"/>
          <w:sz w:val="24"/>
        </w:rPr>
        <w:t>Borrowe</w:t>
      </w:r>
      <w:r>
        <w:rPr>
          <w:rFonts w:ascii="Times New Roman" w:hAnsi="Times New Roman"/>
          <w:i/>
          <w:color w:val="000000"/>
          <w:sz w:val="24"/>
        </w:rPr>
        <w:t>r</w:t>
      </w:r>
      <w:r>
        <w:rPr>
          <w:rFonts w:ascii="Times New Roman" w:hAnsi="Times New Roman"/>
          <w:color w:val="000000"/>
          <w:sz w:val="20"/>
        </w:rPr>
        <w:t>”</w:t>
      </w:r>
      <w:r>
        <w:rPr>
          <w:rFonts w:ascii="Times New Roman" w:hAnsi="Times New Roman"/>
          <w:color w:val="000000"/>
          <w:sz w:val="24"/>
        </w:rPr>
        <w:t>), the Guarantors party hereto and Acquiom Agency Services LLC, as administrative agent (in such capacity, including any successor thereto, the “</w:t>
      </w:r>
      <w:r>
        <w:rPr>
          <w:rFonts w:ascii="Times New Roman" w:hAnsi="Times New Roman"/>
          <w:b/>
          <w:i/>
          <w:color w:val="000000"/>
          <w:sz w:val="24"/>
        </w:rPr>
        <w:t>Administrative Agent</w:t>
      </w:r>
      <w:r>
        <w:rPr>
          <w:rFonts w:ascii="Times New Roman" w:hAnsi="Times New Roman"/>
          <w:color w:val="000000"/>
          <w:sz w:val="20"/>
        </w:rPr>
        <w:t>”</w:t>
      </w:r>
      <w:r>
        <w:rPr>
          <w:rFonts w:ascii="Times New Roman" w:hAnsi="Times New Roman"/>
          <w:color w:val="000000"/>
          <w:sz w:val="24"/>
        </w:rPr>
        <w:t>) for itself and, pursuant to the limited power of attorney set forth in the Lender Direction Letter (as defined below), as attorney-in-fact for each Directing Lender (as defined below) party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lenders party thereto from time to time (the “</w:t>
      </w:r>
      <w:r>
        <w:rPr>
          <w:rFonts w:ascii="Times New Roman" w:hAnsi="Times New Roman"/>
          <w:b/>
          <w:i/>
          <w:color w:val="000000"/>
          <w:sz w:val="24"/>
        </w:rPr>
        <w:t>Lenders</w:t>
      </w:r>
      <w:r>
        <w:rPr>
          <w:rFonts w:ascii="Times New Roman" w:hAnsi="Times New Roman"/>
          <w:color w:val="000000"/>
          <w:sz w:val="20"/>
        </w:rPr>
        <w:t>”</w:t>
      </w:r>
      <w:r>
        <w:rPr>
          <w:rFonts w:ascii="Times New Roman" w:hAnsi="Times New Roman"/>
          <w:color w:val="000000"/>
          <w:sz w:val="24"/>
        </w:rPr>
        <w:t>) and the Administrative Agent are parties to a Credit Agreement, dated as of July 2, 2025 (as amended by that certain First Amendment to Credit Agreement, dated November 11, 2025 and Second Amendment and Limited Waiver to Credit Agreement, dated March 23, 2026, and as otherwise amended, restated, supplemented or modified and in effect immediately prior to the Effective Date (as defined below), the “</w:t>
      </w:r>
      <w:r>
        <w:rPr>
          <w:rFonts w:ascii="Times New Roman" w:hAnsi="Times New Roman"/>
          <w:b/>
          <w:i/>
          <w:color w:val="000000"/>
          <w:sz w:val="24"/>
        </w:rPr>
        <w:t>Credit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and the Subsidiaries breached Section 6.10(a) of the Credit Agreement as a result of the failure to satisfy the minimum Unrestricted Cash requirement thereunder for the fiscal quarter ended June 30, 2026 and Section 6.10(c) of the Credit Agreement as a result of the failure to satisfy the minimum Direct Tracker Margin requirement thereunder for the fiscal quarter ended June 30, 2026 (collectively, the “</w:t>
      </w:r>
      <w:r>
        <w:rPr>
          <w:rFonts w:ascii="Times New Roman" w:hAnsi="Times New Roman"/>
          <w:b/>
          <w:i/>
          <w:color w:val="000000"/>
          <w:sz w:val="24"/>
        </w:rPr>
        <w:t>Initial Financial Events of Default</w:t>
      </w:r>
      <w:r>
        <w:rPr>
          <w:rFonts w:ascii="Times New Roman" w:hAnsi="Times New Roman"/>
          <w:color w:val="000000"/>
          <w:sz w:val="20"/>
        </w:rPr>
        <w:t>”</w:t>
      </w:r>
      <w:r>
        <w:rPr>
          <w:rFonts w:ascii="Times New Roman" w:hAnsi="Times New Roman"/>
          <w:color w:val="000000"/>
          <w:sz w:val="24"/>
        </w:rPr>
        <w:t>) and the Loan Parties failed to provide notice of the Initial Financial Events of Default to the Administrative Agent and the Lenders under Section 5.05(a) of the Credit Agreement (the “</w:t>
      </w:r>
      <w:r>
        <w:rPr>
          <w:rFonts w:ascii="Times New Roman" w:hAnsi="Times New Roman"/>
          <w:b/>
          <w:i/>
          <w:color w:val="000000"/>
          <w:sz w:val="24"/>
        </w:rPr>
        <w:t>Notice Event of Default</w:t>
      </w:r>
      <w:r>
        <w:rPr>
          <w:rFonts w:ascii="Times New Roman" w:hAnsi="Times New Roman"/>
          <w:color w:val="000000"/>
          <w:sz w:val="20"/>
        </w:rPr>
        <w:t xml:space="preserve">” </w:t>
      </w:r>
      <w:r>
        <w:rPr>
          <w:rFonts w:ascii="Times New Roman" w:hAnsi="Times New Roman"/>
          <w:color w:val="000000"/>
          <w:sz w:val="24"/>
        </w:rPr>
        <w:t>and, together with the Initial Financial Events of Default, collectively, the “</w:t>
      </w:r>
      <w:r>
        <w:rPr>
          <w:rFonts w:ascii="Times New Roman" w:hAnsi="Times New Roman"/>
          <w:b/>
          <w:i/>
          <w:color w:val="000000"/>
          <w:sz w:val="24"/>
        </w:rPr>
        <w:t>Specified Events of Default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wishes to make payments in an amount equal to $1,145,670.93 under the Alpha Steel Seller Notes (the “</w:t>
      </w:r>
      <w:r>
        <w:rPr>
          <w:rFonts w:ascii="Times New Roman" w:hAnsi="Times New Roman"/>
          <w:b/>
          <w:i/>
          <w:color w:val="000000"/>
          <w:sz w:val="24"/>
        </w:rPr>
        <w:t>Alpha Steel Seller Note Payments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certain Lenders (collectively, the “</w:t>
      </w:r>
      <w:r>
        <w:rPr>
          <w:rFonts w:ascii="Times New Roman" w:hAnsi="Times New Roman"/>
          <w:b/>
          <w:i/>
          <w:color w:val="000000"/>
          <w:sz w:val="24"/>
        </w:rPr>
        <w:t>Directing Lenders</w:t>
      </w:r>
      <w:r>
        <w:rPr>
          <w:rFonts w:ascii="Times New Roman" w:hAnsi="Times New Roman"/>
          <w:color w:val="000000"/>
          <w:sz w:val="20"/>
        </w:rPr>
        <w:t>”</w:t>
      </w:r>
      <w:r>
        <w:rPr>
          <w:rFonts w:ascii="Times New Roman" w:hAnsi="Times New Roman"/>
          <w:color w:val="000000"/>
          <w:sz w:val="24"/>
        </w:rPr>
        <w:t>) and the Administrative Agent are party to that certain letter agreement, dated as of the date hereof (the “</w:t>
      </w:r>
      <w:r>
        <w:rPr>
          <w:rFonts w:ascii="Times New Roman" w:hAnsi="Times New Roman"/>
          <w:b/>
          <w:i/>
          <w:color w:val="000000"/>
          <w:sz w:val="24"/>
        </w:rPr>
        <w:t>Lender Direction Letter</w:t>
      </w:r>
      <w:r>
        <w:rPr>
          <w:rFonts w:ascii="Times New Roman" w:hAnsi="Times New Roman"/>
          <w:color w:val="000000"/>
          <w:sz w:val="20"/>
        </w:rPr>
        <w:t>”</w:t>
      </w:r>
      <w:r>
        <w:rPr>
          <w:rFonts w:ascii="Times New Roman" w:hAnsi="Times New Roman"/>
          <w:color w:val="000000"/>
          <w:sz w:val="24"/>
        </w:rPr>
        <w:t>), pursuant to which, among other things, each Directing Lender grants the Administrative Agent a limited power of attorney to execute this Waiver and Consent on behalf of the Directing Lenders;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has requested that the Lenders party hereto (constituting the Required Lenders) waive the Specified Events of Default, consent to the Alpha Steel Seller Note Payments and, subject to the conditions set forth herein, the Lenders have agreed to do so;</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agreements herein contained and other good and valuable consideration, the sufficiency and receipt of which are hereby acknowledged, the parties agree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1. </w:t>
      </w:r>
      <w:r>
        <w:rPr>
          <w:rFonts w:ascii="Times New Roman" w:hAnsi="Times New Roman"/>
          <w:color w:val="000000"/>
          <w:sz w:val="24"/>
          <w:u w:val="single"/>
        </w:rPr>
        <w:t>Definitions</w:t>
      </w:r>
      <w:r>
        <w:rPr>
          <w:rFonts w:ascii="Times New Roman" w:hAnsi="Times New Roman"/>
          <w:color w:val="000000"/>
          <w:sz w:val="24"/>
        </w:rPr>
        <w:t>. Except as otherwise defined in this Waiver and Consent, terms defined in the Credit Agreement are used herein as defined therein.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2. </w:t>
      </w:r>
      <w:r>
        <w:rPr>
          <w:rFonts w:ascii="Times New Roman" w:hAnsi="Times New Roman"/>
          <w:color w:val="000000"/>
          <w:sz w:val="24"/>
          <w:u w:val="single"/>
        </w:rPr>
        <w:t>Limited Waiver and Limited Consent</w:t>
      </w:r>
      <w:r>
        <w:rPr>
          <w:rFonts w:ascii="Times New Roman" w:hAnsi="Times New Roman"/>
          <w:color w:val="000000"/>
          <w:sz w:val="24"/>
        </w:rPr>
        <w:t xml:space="preserve">. Subject to the satisfaction of the conditions precedent set forth in </w:t>
      </w:r>
      <w:r>
        <w:rPr>
          <w:rFonts w:ascii="Times New Roman" w:hAnsi="Times New Roman"/>
          <w:color w:val="000000"/>
          <w:sz w:val="24"/>
          <w:u w:val="single"/>
        </w:rPr>
        <w:t>Section 6</w:t>
      </w:r>
      <w:r>
        <w:rPr>
          <w:rFonts w:ascii="Times New Roman" w:hAnsi="Times New Roman"/>
          <w:color w:val="000000"/>
          <w:sz w:val="20"/>
        </w:rPr>
        <w:t xml:space="preserve"> </w:t>
      </w:r>
      <w:r>
        <w:rPr>
          <w:rFonts w:ascii="Times New Roman" w:hAnsi="Times New Roman"/>
          <w:color w:val="000000"/>
          <w:sz w:val="24"/>
        </w:rPr>
        <w:t>of this Waiver and Consent, but effective as of the date hereof, the Lenders party hereto hereby (a) waive (i) the Specified Events of Default and (ii) all rights that the Lenders may have under the Credit Agreement and other Loan Documents solely with respect to the Specified Events of Default, in each case that occurred on or prior to the date hereof and (b) consent to the Borrower making the Alpha Steel Seller Note Payments so long as (i) the Loan Parties shall have indefeasibly paid in full and in cash all of the Alpha Steel Seller Note Indebtedness and (ii) all guarantees, Liens and security interests in support thereof have been discharged and released. The foregoing waiver and consent is a one-time waiver solely with respect to the Specified Events of Default and a one-time consent solely with respect to the Alpha Steel Seller Note Payments, is not a waiver of, or consent to, any other transaction and is not a waiver of any other Default or Event of Default under any Loan Document and shall not apply to any future Default or Event of Default under any Loan Document whether or not similar to the foregoing.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3.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4. </w:t>
      </w:r>
      <w:r>
        <w:rPr>
          <w:rFonts w:ascii="Times New Roman" w:hAnsi="Times New Roman"/>
          <w:color w:val="000000"/>
          <w:sz w:val="24"/>
          <w:u w:val="single"/>
        </w:rPr>
        <w:t>Reaffirmation</w:t>
      </w:r>
      <w:r>
        <w:rPr>
          <w:rFonts w:ascii="Times New Roman" w:hAnsi="Times New Roman"/>
          <w:color w:val="000000"/>
          <w:sz w:val="24"/>
        </w:rPr>
        <w:t>. To induce the Administrative Agent and the Lenders party hereto to enter into this Waiver and Consent, each Loan Party (a) acknowledges and consents to all of the terms and conditions of this Waiver and Consent, (b) agrees that this Waiver and Consent and any documents executed in connection herewith do not operate to reduce or discharge such Loan Party’s obligations under the Security Documents and the other Loan Documents, and (c) agrees that this Waiver and Consent and any documents executed in connection herewith shall not impair or otherwise adversely affect any of the guarantees or Liens provided or granted pursuant to the Loan Documents. Each Security Document, each other Loan Document and all guarantees, pledges, grants, security interests and other agreements thereunder shall continue to be in full force and effect and each Loan Party reaffirms each Security Document, each other Loan Document and all guarantees, pledges, grants, security interests and other agreements thereunder.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5. </w:t>
      </w:r>
      <w:r>
        <w:rPr>
          <w:rFonts w:ascii="Times New Roman" w:hAnsi="Times New Roman"/>
          <w:color w:val="000000"/>
          <w:sz w:val="24"/>
          <w:u w:val="single"/>
        </w:rPr>
        <w:t>Representations and Warranties</w:t>
      </w:r>
      <w:r>
        <w:rPr>
          <w:rFonts w:ascii="Times New Roman" w:hAnsi="Times New Roman"/>
          <w:color w:val="000000"/>
          <w:sz w:val="24"/>
        </w:rPr>
        <w:t>. To induce the Administrative Agent and the Lenders party hereto to enter into this Waiver and Consent, each Loan Party represents and warrants to the Administrative Agent and the Lenders, as to itself and each of its subsidiaries,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Loan Party has the requisite power and authority and has taken all necessary organizational action to authorize the execution, delivery and performance of this Waiver and Consent and the performance of the Credit Agreement. This Waiver and Consent has been duly executed and delivered by such Loan Party and each of this Waiver and Consent and the Credit Agreement constitutes the legal, valid and binding obligation of each such Loan Party, enforceable in accordance with its terms.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execution and delivery by each Loan Party of this Waiver and Consent and the performance by each Loan Party of this Waiver and Consent and the performance by the Borrower of the Credit Agreement do not (i) require any action, consent or approval of, registration or filing with or any other action by any Governmental Authority that has not been obtained, (ii) violate any provision of law, statute, rule or regulation, or of the certificate or articles of incorporation or other constitutive documents or by-laws of any Loan Party, (iii) conflict with, result in a breach of or constitute (alone or with notice or lapse of time or both) a default under, or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give rise to any right to accelerate or to require the prepayment, repurchase or redemption of any obligation under any such indenture, agreement or other instrument, or (iv) result in or require the creation or imposition of any Lien upon or with respect to any property now owned or hereafter acquired by any Loan Party (other than the Liens created under the Loan Documents).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After giving effect to the limited waiver contained in </w:t>
      </w:r>
      <w:r>
        <w:rPr>
          <w:rFonts w:ascii="Times New Roman" w:hAnsi="Times New Roman"/>
          <w:color w:val="000000"/>
          <w:sz w:val="24"/>
          <w:u w:val="single"/>
        </w:rPr>
        <w:t>Section 2</w:t>
      </w:r>
      <w:r>
        <w:rPr>
          <w:rFonts w:ascii="Times New Roman" w:hAnsi="Times New Roman"/>
          <w:color w:val="000000"/>
          <w:sz w:val="24"/>
        </w:rPr>
        <w:t>, the representations and warranties set forth in Article III of the Credit Agreement, and in each of the other Loan Documents, are true and complete on the date hereof as if made on and as of the date hereof (or, if any such representation or warranty is expressly stated to have been made as of a specific date, such representation or warranty shall be true and correct as of such specific date), and as if each reference in said Article III to “this Agreement” included reference to this Waiver and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After giving effect to the limited waiver contained in </w:t>
      </w:r>
      <w:r>
        <w:rPr>
          <w:rFonts w:ascii="Times New Roman" w:hAnsi="Times New Roman"/>
          <w:color w:val="000000"/>
          <w:sz w:val="24"/>
          <w:u w:val="single"/>
        </w:rPr>
        <w:t>Section 2</w:t>
      </w:r>
      <w:r>
        <w:rPr>
          <w:rFonts w:ascii="Times New Roman" w:hAnsi="Times New Roman"/>
          <w:color w:val="000000"/>
          <w:sz w:val="24"/>
        </w:rPr>
        <w:t>, there exists no Default or Event of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After giving effect to the Alpha Steel Seller Note Payments (i) none of the Loan Parties nor Subsidiaries shall be in default in any manner under any provision of the Alpha Steel Seller Notes, (ii) the Alpha Steel Seller Note Indebtedness shall be fully and indefeasibly paid in full in cash and (iii) all Liens granted under the Alpha Steel Seller Notes shall be released and terminated in full.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6. </w:t>
      </w:r>
      <w:r>
        <w:rPr>
          <w:rFonts w:ascii="Times New Roman" w:hAnsi="Times New Roman"/>
          <w:color w:val="000000"/>
          <w:sz w:val="24"/>
          <w:u w:val="single"/>
        </w:rPr>
        <w:t>Conditions Precedent</w:t>
      </w:r>
      <w:r>
        <w:rPr>
          <w:rFonts w:ascii="Times New Roman" w:hAnsi="Times New Roman"/>
          <w:color w:val="000000"/>
          <w:sz w:val="24"/>
        </w:rPr>
        <w:t xml:space="preserve">. The limited waivers and the limited consent set forth in </w:t>
      </w:r>
      <w:r>
        <w:rPr>
          <w:rFonts w:ascii="Times New Roman" w:hAnsi="Times New Roman"/>
          <w:color w:val="000000"/>
          <w:sz w:val="24"/>
          <w:u w:val="single"/>
        </w:rPr>
        <w:t>Section 2</w:t>
      </w:r>
      <w:r>
        <w:rPr>
          <w:rFonts w:ascii="Times New Roman" w:hAnsi="Times New Roman"/>
          <w:color w:val="000000"/>
          <w:sz w:val="20"/>
        </w:rPr>
        <w:t xml:space="preserve"> </w:t>
      </w:r>
      <w:r>
        <w:rPr>
          <w:rFonts w:ascii="Times New Roman" w:hAnsi="Times New Roman"/>
          <w:color w:val="000000"/>
          <w:sz w:val="24"/>
        </w:rPr>
        <w:t>shall become effective upon satisfaction of the following conditions (the first date on which all of the following conditions have been satisfied being referred to herein as the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shall have received counterparts of this Waiver and Consent executed by the Borrower, the other Loan Parties and the Administrative Agent, on behalf of itself and as attorney-in-fact for the Directing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After giving effect to the limited waiver contained in </w:t>
      </w:r>
      <w:r>
        <w:rPr>
          <w:rFonts w:ascii="Times New Roman" w:hAnsi="Times New Roman"/>
          <w:color w:val="000000"/>
          <w:sz w:val="24"/>
          <w:u w:val="single"/>
        </w:rPr>
        <w:t>Section 2</w:t>
      </w:r>
      <w:r>
        <w:rPr>
          <w:rFonts w:ascii="Times New Roman" w:hAnsi="Times New Roman"/>
          <w:color w:val="000000"/>
          <w:sz w:val="24"/>
        </w:rPr>
        <w:t>, the representations and warranties set forth in this Waiver and Consent shall be true and correct in all material respects on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After giving effect to the limited waiver contained in </w:t>
      </w:r>
      <w:r>
        <w:rPr>
          <w:rFonts w:ascii="Times New Roman" w:hAnsi="Times New Roman"/>
          <w:color w:val="000000"/>
          <w:sz w:val="24"/>
          <w:u w:val="single"/>
        </w:rPr>
        <w:t>Section 2</w:t>
      </w:r>
      <w:r>
        <w:rPr>
          <w:rFonts w:ascii="Times New Roman" w:hAnsi="Times New Roman"/>
          <w:color w:val="000000"/>
          <w:sz w:val="24"/>
        </w:rPr>
        <w:t>, no Default or Event of Default shall have occurred and be continuing as of the 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Administrative Agent and the Lenders shall have received all fees and other amounts due and payable on or prior to the Effective Date, including reimbursement or payment of all out-of-pocket expenses required under any Loan Document (including the fees, charges and disbursements of Orrick, Herrington &amp; Sutcliffe LLP and McDermott, Will &amp; Schulte LLP).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7. </w:t>
      </w:r>
      <w:r>
        <w:rPr>
          <w:rFonts w:ascii="Times New Roman" w:hAnsi="Times New Roman"/>
          <w:color w:val="000000"/>
          <w:sz w:val="24"/>
          <w:u w:val="single"/>
        </w:rPr>
        <w:t>Post-Closing Covenant</w:t>
      </w:r>
      <w:r>
        <w:rPr>
          <w:rFonts w:ascii="Times New Roman" w:hAnsi="Times New Roman"/>
          <w:color w:val="000000"/>
          <w:sz w:val="24"/>
        </w:rPr>
        <w:t>. The Borrower covenants and agrees with the Administrative Agent and each Lender that: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five Business Days after the Effective Date (as such period maybe extended in writing by the Required Lenders in their sole discretion), the Borrower shall deliver to the Administrative Agent and the Lenders evidence pursuant to a payoff letter or similar undertaking by the holders of the Alpha Steel Seller Notes (in each case, in form and substance reasonably satisfactory to the Required Lenders) that (i) the Loan Parties shall have indefeasibly paid in full and in cash all of the Alpha Steel Seller Note Indebtedness and (ii) all guarantees, Liens and security interests provided under the Alpha Steel Seller Notes have been fully discharged and released.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rPr>
        <w:t>Within 30 days after the Effective Date (as such period maybe extended in writing by the Required Lenders in their sole discretion), the Borrower shall cause FTC Australia to become a Guarantor and a Loan Party by executing the Guarantee and Collateral Agreement (or a joinder thereto reasonably acceptable to the Required Lenders) and to execute and deliver in favor of the Administrative Agent each security agreement, mortgage and other instrument and document as the Required Lenders reasonably request so that, in each case, the Administrative Agent, on behalf of the Secured Parties, has a fully perfected first priority (or, in each case, the local law equivalent thereof) Lien on, and security interest in, (i) all of the Equity Interests issued by FTC Australia and (ii) all right, title and interest of FTC Australia in any assets and properties (other than any Excluded Assets (as such term is defined in the Guarantee and Collateral Agreement)). Such security interests and Liens will be created under security agreements, mortgages, deeds of trust and other instruments and documents in form and substance satisfactory to the Required Lenders, and the Borrower shall deliver or cause to be delivered to the Lenders all such instruments and documents (including legal opinions, title insurance policies and lien searches, or the equivalent thereof) as the Administrative Agent or the Required Lenders shall reasonably request. The Borrower agrees to provide such evidence as the Administrative Agent and the Required Lenders shall reasonably request as to the perfection and priority status (or, in each case, the local law equivalent thereof) of each such security interest and Lien. The parties hereto agree that from and after the date here, FTC Australia shall not be a Immaterial Foreign Subsidiary under the Credit Agreement or any other Loan Document.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 xml:space="preserve">The failure by the Borrower to comply with the covenants specified in </w:t>
      </w:r>
      <w:r>
        <w:rPr>
          <w:rFonts w:ascii="Times New Roman" w:hAnsi="Times New Roman"/>
          <w:color w:val="000000"/>
          <w:sz w:val="24"/>
          <w:u w:val="single"/>
        </w:rPr>
        <w:t>Sections 7(a)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7(b)</w:t>
      </w:r>
      <w:r>
        <w:rPr>
          <w:color w:val="000000"/>
        </w:rPr>
        <w:t xml:space="preserve"> </w:t>
      </w:r>
      <w:r>
        <w:rPr>
          <w:rFonts w:ascii="Times New Roman" w:hAnsi="Times New Roman"/>
          <w:color w:val="000000"/>
          <w:sz w:val="24"/>
        </w:rPr>
        <w:t xml:space="preserve">above shall result in an immediate Event of Default under Section 7.01 of the Credit Agreement.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Section 8. </w:t>
      </w:r>
      <w:r>
        <w:rPr>
          <w:rFonts w:ascii="Times New Roman" w:hAnsi="Times New Roman"/>
          <w:color w:val="000000"/>
          <w:sz w:val="24"/>
          <w:u w:val="single"/>
        </w:rPr>
        <w:t>Release; Covenant Not to Sue.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Each Loan Party absolutely, unconditionally and irrevocably releases, remises and forever discharges the Administrative Agent, the Lenders and each of their respective successors and assigns, and each of their respective present and former shareholders, affiliates, subsidiaries, directors, officers, attorneys, employees, agents and other representatives (collectively, the “</w:t>
      </w:r>
      <w:r>
        <w:rPr>
          <w:rFonts w:ascii="Times New Roman" w:hAnsi="Times New Roman"/>
          <w:b/>
          <w:i/>
          <w:color w:val="000000"/>
          <w:sz w:val="24"/>
        </w:rPr>
        <w:t>Releasees</w:t>
      </w:r>
      <w:r>
        <w:rPr>
          <w:color w:val="000000"/>
        </w:rPr>
        <w:t>”</w:t>
      </w:r>
      <w:r>
        <w:rPr>
          <w:rFonts w:ascii="Times New Roman" w:hAnsi="Times New Roman"/>
          <w:color w:val="000000"/>
          <w:sz w:val="24"/>
        </w:rPr>
        <w:t>), from all claims, demands or causes of action of any kind, whether arising in law or equity or under contract or tort or under any state or federal law or otherwise, which any Loan Party or any of its successors, assigns or other legal representatives has had, now has or has made claim to have against any Releasee by reason of any act, omission, or cause (collectively, “</w:t>
      </w:r>
      <w:r>
        <w:rPr>
          <w:rFonts w:ascii="Times New Roman" w:hAnsi="Times New Roman"/>
          <w:b/>
          <w:i/>
          <w:color w:val="000000"/>
          <w:sz w:val="24"/>
        </w:rPr>
        <w:t>Claims</w:t>
      </w:r>
      <w:r>
        <w:rPr>
          <w:color w:val="000000"/>
        </w:rPr>
        <w:t>”</w:t>
      </w:r>
      <w:r>
        <w:rPr>
          <w:rFonts w:ascii="Times New Roman" w:hAnsi="Times New Roman"/>
          <w:color w:val="000000"/>
          <w:sz w:val="24"/>
        </w:rPr>
        <w:t xml:space="preserve">), whether such Claims are matured or unmatured or known or unknown. Each Loan Party, on behalf of itself and its successors, assigns, heirs, and other legal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representatives, hereby absolutely, unconditionally and irrevocably covenants in favor of each Releasee that it will not sue (at law, in equity, in any regulatory proceeding or otherwise) any Releasee on the basis of any Claim released, remised and discharged pursuant to this Section. If any Loan Party or any of its successors, assigns, heirs or other legal representatives violates the foregoing covenant, each Loan Party agrees to pay, on a joint and several basis, in addition to such other damages as any Releasee may sustain as a result of such violation, all attorneys’ fees and costs reasonably incurred by any Releasee as a result of such violation.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Loan Party acknowledges and agrees that the release set forth above may be pleaded as a full and complete defense and may be used as a basis for an injunction against any action, suit or other proceeding which may be instituted or attempted in breach of the provisions of such release.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Section 9. </w:t>
      </w:r>
      <w:r>
        <w:rPr>
          <w:rFonts w:ascii="Times New Roman" w:hAnsi="Times New Roman"/>
          <w:color w:val="000000"/>
          <w:sz w:val="24"/>
          <w:u w:val="single"/>
        </w:rPr>
        <w:t>Miscellaneous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Each Loan Party, jointly and severally, agrees to reimburse the Administrative Agent, the Lenders and their respective Affiliates for all reasonable out-of-pocket fees and expenses (including reasonable attorneys’ fees and expenses of (i) Orrick, Herrington &amp; Sutcliffe LLP, (ii) McDermott, Will &amp; Emery LLP and (iii) in connection with the joinder of FTC Australia pursuant to </w:t>
      </w:r>
      <w:r>
        <w:rPr>
          <w:rFonts w:ascii="Times New Roman" w:hAnsi="Times New Roman"/>
          <w:color w:val="000000"/>
          <w:sz w:val="24"/>
          <w:u w:val="single"/>
        </w:rPr>
        <w:t>Section 7(b)</w:t>
      </w:r>
      <w:r>
        <w:rPr>
          <w:rFonts w:ascii="Times New Roman" w:hAnsi="Times New Roman"/>
          <w:color w:val="000000"/>
          <w:sz w:val="24"/>
        </w:rPr>
        <w:t xml:space="preserve">, one local counsel in each relevant jurisdiction) incurred by the Administrative Agent, the Lenders or such Affiliates in connection with the preparation, negotiation, execution, administration and delivery of this Waiver and Consent and the documents delivered in connection herewith (including pursuant to </w:t>
      </w:r>
      <w:r>
        <w:rPr>
          <w:rFonts w:ascii="Times New Roman" w:hAnsi="Times New Roman"/>
          <w:color w:val="000000"/>
          <w:sz w:val="24"/>
          <w:u w:val="single"/>
        </w:rPr>
        <w:t>Section 7(b)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By its execution of the Lender Direction Letter, each Directing Lender collectively constituting the Required Lenders, (i) authorized and directed the Administrative Agent to execute this Waiver and Consent on behalf of such Directing Lender pursuant to, and in reliance on, the limited power of attorney set forth therein and (ii) acknowledged and agreed that (x) the authorization and direction in the Lender Direction Letter constitutes an authorization and direction from such Directing Lender under the provisions of Section 9.08 of the Credit Agreement and (y) Article VIII of the Credit Agreement applies to any and all actions taken by the Administrative Agent in accordance with such direction. The Borrower and each Directing Lender (by its execution of the Lender Direction Letter) agree that the execution of this Waiver and Consent by the Administrative Agent on behalf of each Directing Lender pursuant to, and in reliance on, the limited power of attorney set forth in the Lender Direction Letter constitutes an execution of this Waiver and Consent by such Directing Lender. The Borrower hereby acknowledges, agrees and confirms that the exculpatory, indemnification and reimbursement provisions set forth in the Credit Agreement (including, without limitation, those set forth in Article VIII and Section 9.05(b) of the Credit Agreement) apply to the Administrative Agent and the performance of its duties and obligations (and any and all actions taken (or not taken) by it) under, in connection with or arising in any way from the matters contemplated in this Waiver and Consent (including, without limitation, any and all actions taken by the Administrative Agent in connection with its execution and delivery of this Waiver and Consent and in reliance on the limited power of attorney granted to it by each Directing Lender).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References in the Credit Agreement to “this Agreement” (and indirect references such as “hereunder”, “hereby”, “herein” and “hereof”) and references to the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Credit Agreement in other Loan Documents shall in each case be deemed to be references to the Credit Agreement as amended hereby.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Waiver and Consent shall constitute a Loan Document for purposes of the Credit Agreement and the other Loan Documents, and except as specifically modified by this Waiver and Consent, the Credit Agreement and the other Loan Documents shall remain unchanged and shall remain in full force and effect and are hereby ratified and confirmed.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rPr>
        <w:t xml:space="preserve">Except for the limited waiver contained in </w:t>
      </w:r>
      <w:r>
        <w:rPr>
          <w:rFonts w:ascii="Times New Roman" w:hAnsi="Times New Roman"/>
          <w:color w:val="000000"/>
          <w:sz w:val="24"/>
          <w:u w:val="single"/>
        </w:rPr>
        <w:t>Section 2</w:t>
      </w:r>
      <w:r>
        <w:rPr>
          <w:rFonts w:ascii="Times New Roman" w:hAnsi="Times New Roman"/>
          <w:color w:val="000000"/>
          <w:sz w:val="24"/>
        </w:rPr>
        <w:t>, the execution, delivery and performance of this Waiver and Consent shall not constitute a forbearance, waiver, consent or amendment of any other provision of, or operate as a forbearance or waiver of any right, power or remedy of the Administrative Agent or any Lender under, the Credit Agreement or any of the other Loan Documents, all of which are ratified and reaffirmed in all respects and shall continue in full force and effect. This Waiver and Consent does not constitute a novation of rights, obligations and liabilities of the respective parties existing under the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Waiver and Consent shall be governed by, and construed in accordance with, the law of the State of New York.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Waiver and Consent may be executed in counterparts (and by different parties hereto in different counterparts), each of which shall constitute an original, but all of which when taken together shall constitute a single contract. Delivery of an executed counterpart of a signature page of this Waiver and Consent in electronic format shall be effective as delivery of a manually executed counterpart of this Waiver and Consent. Each party hereto agrees and acknowledges that (i) the transaction consisting of this Waiver and Consent may be conducted by electronic means, (ii) it is such party’s intent that, if such party signs this Waiver and Consent using an electronic signature, it is signing, adopting and accepting this Waiver and Consent and that signing this Waiver and Consent using an electronic signature is the legal equivalent of having placed its handwritten signature on this Waiver and Consent on paper, and (iii) it is being provided with an electronic or paper copy of this Waiver and Consent in a usable format.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Waiver and Consent, the Credit Agreement and the other Loan Documents represent the final agreement between the parties hereto and thereto and may not be contradicted by evidence of prior, contemporaneous or subsequent oral agreements of the parties.</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Waiver and Consent to the Credit Agreement to be duly executed and delivered as of the day and year first above written.</w:t>
      </w:r>
    </w:p>
    <w:p>
      <w:pPr>
        <w:pStyle w:val="TextBody"/>
        <w:bidi w:val="0"/>
        <w:jc w:val="left"/>
        <w:rPr/>
      </w:pPr>
      <w:r>
        <w:rPr/>
        <w:t> </w:t>
      </w:r>
    </w:p>
    <w:p>
      <w:pPr>
        <w:pStyle w:val="TextBody"/>
        <w:bidi w:val="0"/>
        <w:jc w:val="left"/>
        <w:rPr/>
      </w:pPr>
      <w:r>
        <w:rPr/>
        <w:t> </w:t>
      </w:r>
    </w:p>
    <w:tbl>
      <w:tblPr>
        <w:tblW w:w="3840" w:type="dxa"/>
        <w:jc w:val="left"/>
        <w:tblInd w:w="0" w:type="dxa"/>
        <w:tblLayout w:type="fixed"/>
        <w:tblCellMar>
          <w:top w:w="28" w:type="dxa"/>
          <w:left w:w="28" w:type="dxa"/>
          <w:bottom w:w="28" w:type="dxa"/>
          <w:right w:w="28" w:type="dxa"/>
        </w:tblCellMar>
      </w:tblPr>
      <w:tblGrid>
        <w:gridCol w:w="585"/>
        <w:gridCol w:w="3255"/>
      </w:tblGrid>
      <w:tr>
        <w:trPr/>
        <w:tc>
          <w:tcPr>
            <w:tcW w:w="585"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3840" w:type="dxa"/>
            <w:gridSpan w:val="2"/>
            <w:tcBorders/>
            <w:tcMar>
              <w:top w:w="0" w:type="dxa"/>
              <w:left w:w="0" w:type="dxa"/>
              <w:bottom w:w="0" w:type="dxa"/>
              <w:right w:w="0" w:type="dxa"/>
            </w:tcMar>
            <w:vAlign w:val="center"/>
          </w:tcPr>
          <w:p>
            <w:pPr>
              <w:pStyle w:val="TableContents"/>
              <w:bidi w:val="0"/>
              <w:spacing w:before="0" w:after="240"/>
              <w:ind w:left="0" w:right="0" w:firstLine="360"/>
              <w:jc w:val="both"/>
              <w:rPr>
                <w:rFonts w:ascii="Times New Roman" w:hAnsi="Times New Roman"/>
                <w:sz w:val="24"/>
              </w:rPr>
            </w:pPr>
            <w:r>
              <w:rPr>
                <w:rFonts w:ascii="Times New Roman" w:hAnsi="Times New Roman"/>
                <w:b/>
                <w:color w:val="000000"/>
                <w:sz w:val="24"/>
              </w:rPr>
              <w:t>FTC SOLAR, INC.</w:t>
            </w:r>
            <w:r>
              <w:rPr>
                <w:rFonts w:ascii="Times New Roman" w:hAnsi="Times New Roman"/>
                <w:color w:val="000000"/>
                <w:sz w:val="24"/>
              </w:rPr>
              <w:t>, as Borrower</w:t>
            </w:r>
          </w:p>
        </w:tc>
      </w:tr>
      <w:tr>
        <w:trPr/>
        <w:tc>
          <w:tcPr>
            <w:tcW w:w="3840"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By</w:t>
            </w:r>
          </w:p>
        </w:tc>
      </w:tr>
      <w:tr>
        <w:trPr/>
        <w:tc>
          <w:tcPr>
            <w:tcW w:w="585"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255"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Cathy Behnen</w:t>
            </w:r>
          </w:p>
        </w:tc>
      </w:tr>
      <w:tr>
        <w:trPr/>
        <w:tc>
          <w:tcPr>
            <w:tcW w:w="585"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255"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Name: Cathy Behnen</w:t>
            </w:r>
          </w:p>
        </w:tc>
      </w:tr>
      <w:tr>
        <w:trPr/>
        <w:tc>
          <w:tcPr>
            <w:tcW w:w="585"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2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Financial Officer</w:t>
            </w:r>
          </w:p>
        </w:tc>
      </w:tr>
    </w:tbl>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640"/>
        <w:gridCol w:w="3560"/>
      </w:tblGrid>
      <w:tr>
        <w:trPr/>
        <w:tc>
          <w:tcPr>
            <w:tcW w:w="64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4200" w:type="dxa"/>
            <w:gridSpan w:val="2"/>
            <w:tcBorders/>
            <w:tcMar>
              <w:top w:w="0" w:type="dxa"/>
              <w:left w:w="0" w:type="dxa"/>
              <w:bottom w:w="0" w:type="dxa"/>
              <w:right w:w="0" w:type="dxa"/>
            </w:tcMar>
            <w:vAlign w:val="center"/>
          </w:tcPr>
          <w:p>
            <w:pPr>
              <w:pStyle w:val="TableContents"/>
              <w:bidi w:val="0"/>
              <w:spacing w:before="0" w:after="240"/>
              <w:ind w:left="0" w:right="0" w:firstLine="360"/>
              <w:jc w:val="both"/>
              <w:rPr>
                <w:rFonts w:ascii="Times New Roman" w:hAnsi="Times New Roman"/>
                <w:sz w:val="24"/>
              </w:rPr>
            </w:pPr>
            <w:r>
              <w:rPr>
                <w:rFonts w:ascii="Times New Roman" w:hAnsi="Times New Roman"/>
                <w:b/>
                <w:color w:val="000000"/>
                <w:sz w:val="24"/>
              </w:rPr>
              <w:t>ALPHA STEEL LLC.</w:t>
            </w:r>
            <w:r>
              <w:rPr>
                <w:rFonts w:ascii="Times New Roman" w:hAnsi="Times New Roman"/>
                <w:color w:val="000000"/>
                <w:sz w:val="24"/>
              </w:rPr>
              <w:t>, as Guarantor</w:t>
            </w:r>
          </w:p>
        </w:tc>
      </w:tr>
      <w:tr>
        <w:trPr/>
        <w:tc>
          <w:tcPr>
            <w:tcW w:w="4200"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By</w:t>
            </w:r>
          </w:p>
        </w:tc>
      </w:tr>
      <w:tr>
        <w:trPr/>
        <w:tc>
          <w:tcPr>
            <w:tcW w:w="640"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560"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Cathy Behnen</w:t>
            </w:r>
          </w:p>
        </w:tc>
      </w:tr>
      <w:tr>
        <w:trPr/>
        <w:tc>
          <w:tcPr>
            <w:tcW w:w="640"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560"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Name: Cathy Behnen</w:t>
            </w:r>
          </w:p>
        </w:tc>
      </w:tr>
      <w:tr>
        <w:trPr/>
        <w:tc>
          <w:tcPr>
            <w:tcW w:w="640"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35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Waiver and Consent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80" w:type="dxa"/>
        <w:jc w:val="left"/>
        <w:tblInd w:w="0" w:type="dxa"/>
        <w:tblLayout w:type="fixed"/>
        <w:tblCellMar>
          <w:top w:w="28" w:type="dxa"/>
          <w:left w:w="28" w:type="dxa"/>
          <w:bottom w:w="28" w:type="dxa"/>
          <w:right w:w="28" w:type="dxa"/>
        </w:tblCellMar>
      </w:tblPr>
      <w:tblGrid>
        <w:gridCol w:w="1281"/>
        <w:gridCol w:w="5499"/>
      </w:tblGrid>
      <w:tr>
        <w:trPr/>
        <w:tc>
          <w:tcPr>
            <w:tcW w:w="1281" w:type="dxa"/>
            <w:tcBorders/>
            <w:vAlign w:val="center"/>
          </w:tcPr>
          <w:p>
            <w:pPr>
              <w:pStyle w:val="TableContents"/>
              <w:bidi w:val="0"/>
              <w:spacing w:before="0" w:after="283"/>
              <w:jc w:val="left"/>
              <w:rPr>
                <w:sz w:val="4"/>
                <w:szCs w:val="4"/>
              </w:rPr>
            </w:pPr>
            <w:r>
              <w:rPr>
                <w:sz w:val="4"/>
                <w:szCs w:val="4"/>
              </w:rPr>
            </w:r>
          </w:p>
        </w:tc>
        <w:tc>
          <w:tcPr>
            <w:tcW w:w="5499" w:type="dxa"/>
            <w:tcBorders/>
            <w:vAlign w:val="center"/>
          </w:tcPr>
          <w:p>
            <w:pPr>
              <w:pStyle w:val="TableContents"/>
              <w:bidi w:val="0"/>
              <w:spacing w:before="0" w:after="283"/>
              <w:jc w:val="left"/>
              <w:rPr>
                <w:sz w:val="4"/>
                <w:szCs w:val="4"/>
              </w:rPr>
            </w:pPr>
            <w:r>
              <w:rPr>
                <w:sz w:val="4"/>
                <w:szCs w:val="4"/>
              </w:rPr>
            </w:r>
          </w:p>
        </w:tc>
      </w:tr>
      <w:tr>
        <w:trPr/>
        <w:tc>
          <w:tcPr>
            <w:tcW w:w="6780" w:type="dxa"/>
            <w:gridSpan w:val="2"/>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b/>
                <w:color w:val="000000"/>
                <w:sz w:val="24"/>
              </w:rPr>
              <w:t>ACQUIOM AGENCY SERVICES LLC</w:t>
            </w:r>
            <w:r>
              <w:rPr>
                <w:rFonts w:ascii="Times New Roman" w:hAnsi="Times New Roman"/>
                <w:caps/>
                <w:color w:val="000000"/>
                <w:sz w:val="24"/>
              </w:rPr>
              <w:t xml:space="preserve">, </w:t>
            </w:r>
            <w:r>
              <w:rPr>
                <w:rFonts w:ascii="Times New Roman" w:hAnsi="Times New Roman"/>
                <w:color w:val="000000"/>
                <w:sz w:val="24"/>
              </w:rPr>
              <w:t>as Administrative Agent</w:t>
            </w:r>
          </w:p>
          <w:p>
            <w:pPr>
              <w:pStyle w:val="TableContents"/>
              <w:bidi w:val="0"/>
              <w:spacing w:before="0" w:after="240"/>
              <w:ind w:left="0" w:right="0" w:firstLine="360"/>
              <w:jc w:val="both"/>
              <w:rPr/>
            </w:pPr>
            <w:r>
              <w:rPr/>
              <w:t> </w:t>
            </w:r>
          </w:p>
        </w:tc>
      </w:tr>
      <w:tr>
        <w:trPr/>
        <w:tc>
          <w:tcPr>
            <w:tcW w:w="6780"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By:</w:t>
            </w:r>
          </w:p>
        </w:tc>
      </w:tr>
      <w:tr>
        <w:trPr/>
        <w:tc>
          <w:tcPr>
            <w:tcW w:w="128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5499"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Nick Tiller</w:t>
            </w:r>
          </w:p>
        </w:tc>
      </w:tr>
      <w:tr>
        <w:trPr/>
        <w:tc>
          <w:tcPr>
            <w:tcW w:w="128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5499"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Name: Nick Tiller</w:t>
            </w:r>
          </w:p>
        </w:tc>
      </w:tr>
      <w:tr>
        <w:trPr/>
        <w:tc>
          <w:tcPr>
            <w:tcW w:w="128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5499"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Title: Director</w:t>
            </w:r>
          </w:p>
        </w:tc>
      </w:tr>
      <w:tr>
        <w:trPr/>
        <w:tc>
          <w:tcPr>
            <w:tcW w:w="128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5499"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tbl>
      <w:tblPr>
        <w:tblW w:w="8685" w:type="dxa"/>
        <w:jc w:val="left"/>
        <w:tblInd w:w="0" w:type="dxa"/>
        <w:tblLayout w:type="fixed"/>
        <w:tblCellMar>
          <w:top w:w="28" w:type="dxa"/>
          <w:left w:w="28" w:type="dxa"/>
          <w:bottom w:w="28" w:type="dxa"/>
          <w:right w:w="28" w:type="dxa"/>
        </w:tblCellMar>
      </w:tblPr>
      <w:tblGrid>
        <w:gridCol w:w="1641"/>
        <w:gridCol w:w="7044"/>
      </w:tblGrid>
      <w:tr>
        <w:trPr/>
        <w:tc>
          <w:tcPr>
            <w:tcW w:w="1641" w:type="dxa"/>
            <w:tcBorders/>
            <w:vAlign w:val="center"/>
          </w:tcPr>
          <w:p>
            <w:pPr>
              <w:pStyle w:val="TableContents"/>
              <w:bidi w:val="0"/>
              <w:spacing w:before="0" w:after="283"/>
              <w:jc w:val="left"/>
              <w:rPr>
                <w:sz w:val="4"/>
                <w:szCs w:val="4"/>
              </w:rPr>
            </w:pPr>
            <w:r>
              <w:rPr>
                <w:sz w:val="4"/>
                <w:szCs w:val="4"/>
              </w:rPr>
            </w:r>
          </w:p>
        </w:tc>
        <w:tc>
          <w:tcPr>
            <w:tcW w:w="7044" w:type="dxa"/>
            <w:tcBorders/>
            <w:vAlign w:val="center"/>
          </w:tcPr>
          <w:p>
            <w:pPr>
              <w:pStyle w:val="TableContents"/>
              <w:bidi w:val="0"/>
              <w:spacing w:before="0" w:after="283"/>
              <w:jc w:val="left"/>
              <w:rPr>
                <w:sz w:val="4"/>
                <w:szCs w:val="4"/>
              </w:rPr>
            </w:pPr>
            <w:r>
              <w:rPr>
                <w:sz w:val="4"/>
                <w:szCs w:val="4"/>
              </w:rPr>
            </w:r>
          </w:p>
        </w:tc>
      </w:tr>
      <w:tr>
        <w:trPr/>
        <w:tc>
          <w:tcPr>
            <w:tcW w:w="8685" w:type="dxa"/>
            <w:gridSpan w:val="2"/>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4"/>
              </w:rPr>
            </w:pPr>
            <w:r>
              <w:rPr>
                <w:rFonts w:ascii="Times New Roman" w:hAnsi="Times New Roman"/>
                <w:b/>
                <w:color w:val="000000"/>
                <w:sz w:val="24"/>
              </w:rPr>
              <w:t>ACQUIOM AGENCY SERVICES LLC</w:t>
            </w:r>
            <w:r>
              <w:rPr>
                <w:rFonts w:ascii="Times New Roman" w:hAnsi="Times New Roman"/>
                <w:caps/>
                <w:color w:val="000000"/>
                <w:sz w:val="24"/>
              </w:rPr>
              <w:t xml:space="preserve">, </w:t>
            </w:r>
            <w:r>
              <w:rPr>
                <w:rFonts w:ascii="Times New Roman" w:hAnsi="Times New Roman"/>
                <w:color w:val="000000"/>
                <w:sz w:val="24"/>
              </w:rPr>
              <w:t>as attorney-in-fact for each Directing Lender</w:t>
            </w:r>
          </w:p>
          <w:p>
            <w:pPr>
              <w:pStyle w:val="TableContents"/>
              <w:bidi w:val="0"/>
              <w:spacing w:before="0" w:after="240"/>
              <w:ind w:left="0" w:right="0" w:firstLine="360"/>
              <w:jc w:val="both"/>
              <w:rPr/>
            </w:pPr>
            <w:r>
              <w:rPr/>
              <w:t> </w:t>
            </w:r>
          </w:p>
        </w:tc>
      </w:tr>
      <w:tr>
        <w:trPr/>
        <w:tc>
          <w:tcPr>
            <w:tcW w:w="8685" w:type="dxa"/>
            <w:gridSpan w:val="2"/>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By:</w:t>
            </w:r>
          </w:p>
        </w:tc>
      </w:tr>
      <w:tr>
        <w:trPr/>
        <w:tc>
          <w:tcPr>
            <w:tcW w:w="164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7044" w:type="dxa"/>
            <w:tcBorders>
              <w:bottom w:val="single" w:sz="4" w:space="0" w:color="000000"/>
            </w:tcBorders>
            <w:tcMar>
              <w:top w:w="0" w:type="dxa"/>
              <w:left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/s/ Nick Tiller</w:t>
            </w:r>
          </w:p>
        </w:tc>
      </w:tr>
      <w:tr>
        <w:trPr/>
        <w:tc>
          <w:tcPr>
            <w:tcW w:w="164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7044"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Name: Nick Tiller</w:t>
            </w:r>
          </w:p>
        </w:tc>
      </w:tr>
      <w:tr>
        <w:trPr/>
        <w:tc>
          <w:tcPr>
            <w:tcW w:w="164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7044" w:type="dxa"/>
            <w:tcBorders/>
            <w:tcMar>
              <w:top w:w="0" w:type="dxa"/>
              <w:left w:w="0" w:type="dxa"/>
              <w:bottom w:w="0" w:type="dxa"/>
              <w:right w:w="0" w:type="dxa"/>
            </w:tcMar>
            <w:vAlign w:val="center"/>
          </w:tcPr>
          <w:p>
            <w:pPr>
              <w:pStyle w:val="TableContents"/>
              <w:bidi w:val="0"/>
              <w:spacing w:before="0" w:after="283"/>
              <w:ind w:left="0" w:right="0" w:firstLine="360"/>
              <w:jc w:val="both"/>
              <w:rPr>
                <w:rFonts w:ascii="Times New Roman" w:hAnsi="Times New Roman"/>
                <w:color w:val="000000"/>
                <w:sz w:val="24"/>
              </w:rPr>
            </w:pPr>
            <w:r>
              <w:rPr>
                <w:rFonts w:ascii="Times New Roman" w:hAnsi="Times New Roman"/>
                <w:color w:val="000000"/>
                <w:sz w:val="24"/>
              </w:rPr>
              <w:t>Title: Director</w:t>
            </w:r>
          </w:p>
        </w:tc>
      </w:tr>
      <w:tr>
        <w:trPr/>
        <w:tc>
          <w:tcPr>
            <w:tcW w:w="1641" w:type="dxa"/>
            <w:tcBorders/>
            <w:tcMar>
              <w:top w:w="0" w:type="dxa"/>
              <w:left w:w="0" w:type="dxa"/>
              <w:bottom w:w="0" w:type="dxa"/>
              <w:right w:w="0" w:type="dxa"/>
            </w:tcMar>
            <w:vAlign w:val="center"/>
          </w:tcPr>
          <w:p>
            <w:pPr>
              <w:pStyle w:val="TableContents"/>
              <w:bidi w:val="0"/>
              <w:spacing w:before="0" w:after="283"/>
              <w:ind w:left="0" w:right="0" w:firstLine="360"/>
              <w:jc w:val="both"/>
              <w:rPr/>
            </w:pPr>
            <w:r>
              <w:rPr/>
              <w:t> </w:t>
            </w:r>
          </w:p>
        </w:tc>
        <w:tc>
          <w:tcPr>
            <w:tcW w:w="704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Waiver and Consent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9" w:name="ftci-ex99_1.htm"/>
      <w:bookmarkStart w:id="10" w:name="ksftciex99_1"/>
      <w:bookmarkEnd w:id="9"/>
      <w:bookmarkEnd w:id="10"/>
      <w:r>
        <w:rPr/>
        <w:t> </w:t>
      </w:r>
      <w:r>
        <w:br w:type="page"/>
      </w:r>
    </w:p>
    <w:p>
      <w:pPr>
        <w:pStyle w:val="TextBody"/>
        <w:bidi w:val="0"/>
        <w:spacing w:before="0" w:after="160"/>
        <w:jc w:val="right"/>
        <w:rPr>
          <w:rFonts w:ascii="Times New Roman" w:hAnsi="Times New Roman"/>
          <w:color w:val="000000"/>
          <w:sz w:val="22"/>
        </w:rPr>
      </w:pPr>
      <w:r>
        <w:rPr>
          <w:rFonts w:ascii="Times New Roman" w:hAnsi="Times New Roman"/>
          <w:color w:val="000000"/>
          <w:sz w:val="22"/>
        </w:rPr>
        <w:t>Exhibit 99.1</w:t>
      </w:r>
    </w:p>
    <w:p>
      <w:pPr>
        <w:pStyle w:val="TextBody"/>
        <w:bidi w:val="0"/>
        <w:spacing w:before="0" w:after="160"/>
        <w:jc w:val="left"/>
        <w:rPr/>
      </w:pPr>
      <w:r>
        <w:rPr/>
        <w:drawing>
          <wp:inline distT="0" distB="0" distL="0" distR="0">
            <wp:extent cx="2276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762000"/>
                    </a:xfrm>
                    <a:prstGeom prst="rect">
                      <a:avLst/>
                    </a:prstGeom>
                  </pic:spPr>
                </pic:pic>
              </a:graphicData>
            </a:graphic>
          </wp:inline>
        </w:drawing>
      </w:r>
    </w:p>
    <w:p>
      <w:pPr>
        <w:pStyle w:val="TextBody"/>
        <w:bidi w:val="0"/>
        <w:jc w:val="center"/>
        <w:rPr>
          <w:rFonts w:ascii="Times New Roman" w:hAnsi="Times New Roman"/>
          <w:b/>
          <w:color w:val="000000"/>
          <w:sz w:val="28"/>
        </w:rPr>
      </w:pPr>
      <w:r>
        <w:rPr>
          <w:rFonts w:ascii="Times New Roman" w:hAnsi="Times New Roman"/>
          <w:b/>
          <w:color w:val="000000"/>
          <w:sz w:val="28"/>
        </w:rPr>
        <w:t>FTC Solar Announces Second Quarter 2026 Financial Results</w:t>
      </w:r>
    </w:p>
    <w:p>
      <w:pPr>
        <w:pStyle w:val="TextBody"/>
        <w:bidi w:val="0"/>
        <w:jc w:val="center"/>
        <w:rPr>
          <w:rFonts w:ascii="Times New Roman" w:hAnsi="Times New Roman"/>
          <w:sz w:val="20"/>
        </w:rPr>
      </w:pPr>
      <w:r>
        <w:rPr>
          <w:rFonts w:ascii="Times New Roman" w:hAnsi="Times New Roman"/>
          <w:b/>
          <w:color w:val="000000"/>
          <w:sz w:val="24"/>
        </w:rPr>
        <w:t>Second Quarter Highlights and Recent Developments</w:t>
      </w:r>
      <w:r>
        <w:rPr>
          <w:rFonts w:ascii="Times New Roman" w:hAnsi="Times New Roman"/>
          <w:color w:val="000000"/>
          <w:sz w:val="20"/>
        </w:rPr>
        <w:t xml:space="preserve"> </w:t>
      </w:r>
    </w:p>
    <w:p>
      <w:pPr>
        <w:pStyle w:val="TextBody"/>
        <w:bidi w:val="0"/>
        <w:jc w:val="center"/>
        <w:rPr>
          <w:color w:val="000000"/>
        </w:rPr>
      </w:pPr>
      <w:r>
        <w:rPr>
          <w:color w:val="000000"/>
        </w:rPr>
        <w:t xml:space="preserve">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Second quarter revenue up 52% q/q, 31% y/y, ahead of target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Awarded 400MW project with top EPC and top developer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Awarded 80+MW project in Australia for 2H delivery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Scheduled to begin deliveries on 330+MW Australia project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Announced entry into India market with multiple initial project wins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Reaffirm outlook for 40% y/y revenue growth in 2026</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Announced agreement for up to $20 million equity line of credit with institutional investor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AUSTIN, Texas</w:t>
      </w:r>
      <w:r>
        <w:rPr>
          <w:rFonts w:ascii="Times New Roman" w:hAnsi="Times New Roman"/>
          <w:color w:val="000000"/>
          <w:sz w:val="20"/>
        </w:rPr>
        <w:t> — </w:t>
      </w:r>
      <w:r>
        <w:rPr>
          <w:rFonts w:ascii="Times New Roman" w:hAnsi="Times New Roman"/>
          <w:color w:val="000000"/>
          <w:sz w:val="22"/>
        </w:rPr>
        <w:t>August 5, 2026– FTC Solar, Inc. (Nasdaq: FTCI), a leading provider of solar tracker systems, today announced financial results for the second quarter ended June 30,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We’re pleased to report that second quarter results were in line with or better than our targeted ranges,” said Anthony Carroll, President and CEO of FTC Solar, “and that we remain on track to outpace the market with 40% annual revenue growth in 2026.</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While I am just over one quarter into my tenure as CEO, the company has done an incredible amount over the past two years to put the company in a great position to grow and scale. This includes developing and introducing a 1P tracker line that is regarded by customers as easier and faster to install and an engineering capability that is willing to go the extra mile and increasingly helps enable more power or less land grading through a more efficient design.</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To build on that foundation and continue the momentum, we have been focused on five key areas. They include: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Expanding top 10 customer base</w:t>
      </w:r>
      <w:r>
        <w:rPr>
          <w:rFonts w:ascii="Times New Roman" w:hAnsi="Times New Roman"/>
          <w:color w:val="000000"/>
          <w:sz w:val="22"/>
        </w:rPr>
        <w:t>. Following great work to achieve qualification with top prospects, including 9 of the top 10 EPCs, the focus now is on converting these opportunities and expanding our customer base within this group. We have recently signed two projects associated with three top developers and EPCs and expect to add projects with two more by year-end.</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Making immediate bookings progress.</w:t>
      </w:r>
      <w:r>
        <w:rPr>
          <w:color w:val="000000"/>
        </w:rPr>
        <w:t xml:space="preserve"> </w:t>
      </w:r>
      <w:r>
        <w:rPr>
          <w:rFonts w:ascii="Times New Roman" w:hAnsi="Times New Roman"/>
          <w:color w:val="000000"/>
          <w:sz w:val="22"/>
        </w:rPr>
        <w:t>With a significantly expanded overall customer base and improved access to bid opportunities, our focus is now on converting that stronger pipeline into bookings. We're investing in sales talent, AI-driven bidding capabilities, and international expansion, with meaningful momentum in Australia and new entry into India reinforcing the opportunity ahead.</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Ramping second half revenue.</w:t>
      </w:r>
      <w:r>
        <w:rPr>
          <w:color w:val="000000"/>
        </w:rPr>
        <w:t xml:space="preserve"> </w:t>
      </w:r>
      <w:r>
        <w:rPr>
          <w:rFonts w:ascii="Times New Roman" w:hAnsi="Times New Roman"/>
          <w:color w:val="000000"/>
          <w:sz w:val="22"/>
        </w:rPr>
        <w:t>Following 52% sequential growth in the second quarter, we’re looking for another 24% growth in Q3 before accelerating again in Q4. We’re reaffirming our full-year 2026 growth outlook of 40%. While we will look to grow even faster, what is most important is systematic execution and layering on an increasing amount of projects to build sustainable future growth.</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color w:val="000000"/>
          <w:sz w:val="22"/>
        </w:rPr>
        <w:t>Cost and breakeven optimization:</w:t>
      </w:r>
      <w:r>
        <w:rPr>
          <w:color w:val="000000"/>
        </w:rPr>
        <w:t xml:space="preserve"> </w:t>
      </w:r>
      <w:r>
        <w:rPr>
          <w:rFonts w:ascii="Times New Roman" w:hAnsi="Times New Roman"/>
          <w:color w:val="000000"/>
          <w:sz w:val="22"/>
        </w:rPr>
        <w:t>Improving our cost structure and lowering our breakeven revenue level remain key priorities. Through targeted cost savings, greater use of AI and automation, and better monetization of the value we deliver to customers, we see meaningful opportunities to expand margins as the business grows.</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b/>
          <w:color w:val="000000"/>
          <w:sz w:val="22"/>
        </w:rPr>
        <w:t>Robotics and AI</w:t>
      </w:r>
      <w:r>
        <w:rPr>
          <w:rFonts w:ascii="Times New Roman" w:hAnsi="Times New Roman"/>
          <w:color w:val="000000"/>
          <w:sz w:val="22"/>
        </w:rPr>
        <w:t>: W</w:t>
      </w:r>
      <w:r>
        <w:rPr>
          <w:rFonts w:ascii="Times New Roman" w:hAnsi="Times New Roman"/>
          <w:color w:val="0D0D0D"/>
          <w:sz w:val="22"/>
        </w:rPr>
        <w:t>e believe robotics will be a major productivity driver for our customers, and we want to help lead that transition. We've already generated promising test and pilot results and expect to have these technologies operating on commercial projects with real-world data soon.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Overall, while we still have work to do and need to win much more business, I'm proud of what our team has accomplished and confident in where we're headed. We have the products, the partnerships, and the strategy to drive sustainable growth, and we'll continue earning trust through execution and customer focus. Our opportunity is great, our plan is clear, the path to profitability is there, and our second half revenue growth outlook is very strong.”</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Results</w:t>
      </w:r>
    </w:p>
    <w:p>
      <w:pPr>
        <w:pStyle w:val="TextBody"/>
        <w:bidi w:val="0"/>
        <w:jc w:val="both"/>
        <w:rPr>
          <w:rFonts w:ascii="Times New Roman" w:hAnsi="Times New Roman"/>
          <w:color w:val="000000"/>
          <w:sz w:val="22"/>
        </w:rPr>
      </w:pPr>
      <w:r>
        <w:rPr>
          <w:rFonts w:ascii="Times New Roman" w:hAnsi="Times New Roman"/>
          <w:color w:val="000000"/>
          <w:sz w:val="22"/>
        </w:rPr>
        <w:t>Total second-quarter revenue was $26.2 million. This represents an increase of 51.5% compared to the prior quarter revenue and an increase of 30.8% compared to the year-ago quarter.</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GAAP gross loss was $2.2 million, or 8.5% of revenue, compared to gross loss of $1.2 million, or 7.1% of revenue, in the prior quarter. Non-GAAP gross loss was $1.3 million or 5.1% of revenue. This compares to Non-GAAP gross loss of $3.5 million in the prior-year period.</w:t>
      </w:r>
    </w:p>
    <w:p>
      <w:pPr>
        <w:pStyle w:val="TextBody"/>
        <w:bidi w:val="0"/>
        <w:jc w:val="both"/>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Summary Financial Performance: Q2 2026 compared to Q2 2025</w:t>
      </w:r>
    </w:p>
    <w:tbl>
      <w:tblPr>
        <w:tblW w:w="8532" w:type="dxa"/>
        <w:jc w:val="left"/>
        <w:tblInd w:w="0" w:type="dxa"/>
        <w:tblLayout w:type="fixed"/>
        <w:tblCellMar>
          <w:top w:w="28" w:type="dxa"/>
          <w:left w:w="28" w:type="dxa"/>
          <w:bottom w:w="28" w:type="dxa"/>
          <w:right w:w="28" w:type="dxa"/>
        </w:tblCellMar>
      </w:tblPr>
      <w:tblGrid>
        <w:gridCol w:w="2791"/>
        <w:gridCol w:w="146"/>
        <w:gridCol w:w="211"/>
        <w:gridCol w:w="736"/>
        <w:gridCol w:w="331"/>
        <w:gridCol w:w="146"/>
        <w:gridCol w:w="211"/>
        <w:gridCol w:w="736"/>
        <w:gridCol w:w="331"/>
        <w:gridCol w:w="146"/>
        <w:gridCol w:w="211"/>
        <w:gridCol w:w="736"/>
        <w:gridCol w:w="331"/>
        <w:gridCol w:w="146"/>
        <w:gridCol w:w="211"/>
        <w:gridCol w:w="736"/>
        <w:gridCol w:w="37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 GAAP</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Non-GAAP</w:t>
            </w:r>
            <w:r>
              <w:rPr>
                <w:rFonts w:ascii="Times New Roman" w:hAnsi="Times New Roman"/>
                <w:b/>
                <w:color w:val="000000"/>
                <w:sz w:val="11"/>
              </w:rPr>
              <w:t>(b)</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Loss from operations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Adjusted EBITDA for Non-GAAP</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(b)</w:t>
      </w:r>
    </w:p>
    <w:p>
      <w:pPr>
        <w:pStyle w:val="TextBody"/>
        <w:bidi w:val="0"/>
        <w:jc w:val="both"/>
        <w:rPr>
          <w:rFonts w:ascii="Times New Roman" w:hAnsi="Times New Roman"/>
          <w:color w:val="000000"/>
          <w:sz w:val="16"/>
        </w:rPr>
      </w:pPr>
      <w:r>
        <w:rPr>
          <w:rFonts w:ascii="Times New Roman" w:hAnsi="Times New Roman"/>
          <w:color w:val="000000"/>
          <w:sz w:val="16"/>
        </w:rPr>
        <w:t>See below for reconciliation of Non-GAAP financial measures to the nearest comparable GAAP measures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GAAP operating expenses were $11.5 million. On a Non-GAAP basis, operating expenses were $8.5 million. This compares to Non-GAAP operating expenses of $7.8 million</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in the prior quarter and $6.5 million in the year-ago quarter.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GAAP net loss was $27.1 million, or a loss of $1.69 per diluted share, compared to income of $32.6 million or a loss of $0.72 per diluted share in the prior quarter and a net loss of $15.4 million or $1.18 per diluted share in the year-ago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Adjusted EBITDA loss, which excludes approximately $17.3 million for (i) a loss from the change in fair value of the warrant liability, (ii) certain CEO transition costs, and (iii) other non-cash items, was $9.8 million, compared to Adjusted EBITDA losses of $8.2 million</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in the prior quarter and $10.4 million in the year-ago quarter.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contracted portion of the company's backlog</w:t>
      </w: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now stands at approximately $560 million.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During the quarter, the company received a purchase order for its first 1P tracker system with a top U.S. developer, which has heretofore been a 2P customer. The project is just over 100 megawatts and located on the East Coast. The company is very pleased to expand its relationship with this developer.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also received notice to begin production on a 330+ megawatt project in Queensland, Australia. FTC first announced the project award in March 2025 with tracker production at the time expected to begin in mid-2025. The project timeline has been revised and now finalized with notice to proceed issued during the second quarter. Tracker deliveries begin in the second half of 2026. The aggregate value of the project was added to the company’s backlog in 2025 and was reflected in the most recent backlog disclosed on May 5,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company also announced that it has recently entered the India market, and has already won multiple initial projects there, ranging from pilot to 100+ megawatt projects with large and well-known customers. Shipments in this region have been ongoing in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Subsequent Events</w:t>
      </w:r>
    </w:p>
    <w:p>
      <w:pPr>
        <w:pStyle w:val="TextBody"/>
        <w:bidi w:val="0"/>
        <w:jc w:val="both"/>
        <w:rPr>
          <w:rFonts w:ascii="Times New Roman" w:hAnsi="Times New Roman"/>
          <w:sz w:val="20"/>
        </w:rPr>
      </w:pPr>
      <w:r>
        <w:rPr>
          <w:rFonts w:ascii="Times New Roman" w:hAnsi="Times New Roman"/>
          <w:color w:val="000000"/>
          <w:sz w:val="22"/>
        </w:rPr>
        <w:t>Subsequent to quarter end, the company received a new 400 megawatt purchase order for a 1P project being constructed by a top 5 U.S. EPC and a top 5 U.S. developer. The company has worked with this EPC on other projects recently and is pleased to see a nice-sized follow-on project.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addition to its financial results, the company announced that it has entered into a purchase agreement establishing an Equity Line of Credit (“ELOC”) with Lincoln Park Capital, a long-only institutional investor. Under the terms of the agreement and subject to certain conditions, FTC Solar has the right to sell, and Lincoln Park is obligated to purchase, up to $20 million worth of common shares at prices that are based on the market price at the time of each sale. FTC Solar, at its sole discretion, controls the timing and amount of all sales of shares associated with the ELOC. There are no upper limits to the price per share Lincoln Park may pay and Lincoln Park has agreed not to enter into or effect any direct or indirect short-selling or hedging of our common stock. There are no warrants, derivatives, or other share classes associated with this agreement. The company believes that this agreement will provide the company with an additional and flexible source of funding as may be appropriate.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Outlook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company expects third quarter revenue to grow by roughly 24% relative to the second quarter, based on the midpoint of the guidance range. The company expects further sequential growth in the fourth quarter and continues to expect full-year revenue 2026 growth of 40% relative to 2025, outpacing the market.</w:t>
      </w:r>
    </w:p>
    <w:tbl>
      <w:tblPr>
        <w:tblW w:w="6397" w:type="dxa"/>
        <w:jc w:val="left"/>
        <w:tblInd w:w="0" w:type="dxa"/>
        <w:tblLayout w:type="fixed"/>
        <w:tblCellMar>
          <w:top w:w="28" w:type="dxa"/>
          <w:left w:w="28" w:type="dxa"/>
          <w:bottom w:w="28" w:type="dxa"/>
          <w:right w:w="28" w:type="dxa"/>
        </w:tblCellMar>
      </w:tblPr>
      <w:tblGrid>
        <w:gridCol w:w="2641"/>
        <w:gridCol w:w="146"/>
        <w:gridCol w:w="1366"/>
        <w:gridCol w:w="146"/>
        <w:gridCol w:w="646"/>
        <w:gridCol w:w="146"/>
        <w:gridCol w:w="130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2Q'26</w:t>
              <w:br/>
              <w:t>Guidance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2Q'26</w:t>
              <w:br/>
              <w:t>Actual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3Q'26</w:t>
              <w:br/>
              <w:t>Guidance</w:t>
            </w:r>
            <w:r>
              <w:rPr>
                <w:rFonts w:ascii="Times New Roman" w:hAnsi="Times New Roman"/>
                <w:b/>
                <w:color w:val="000000"/>
                <w:sz w:val="11"/>
              </w:rPr>
              <w:t>(3)</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 – $26.0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 – $35.0</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 –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 – $1.8</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 – 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 – 5.1%</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 – $9.0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$7.7 – $8.3</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 – $(7.4)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$(9.3) – $(6.0)</w:t>
            </w:r>
          </w:p>
        </w:tc>
      </w:tr>
    </w:tbl>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Second Quarter 2026 Earnings Conference Call</w:t>
      </w:r>
    </w:p>
    <w:p>
      <w:pPr>
        <w:pStyle w:val="TextBody"/>
        <w:bidi w:val="0"/>
        <w:jc w:val="both"/>
        <w:rPr>
          <w:rFonts w:ascii="Times New Roman" w:hAnsi="Times New Roman"/>
          <w:color w:val="000000"/>
          <w:sz w:val="22"/>
        </w:rPr>
      </w:pPr>
      <w:r>
        <w:rPr>
          <w:rFonts w:ascii="Times New Roman" w:hAnsi="Times New Roman"/>
          <w:color w:val="000000"/>
          <w:sz w:val="22"/>
        </w:rPr>
        <w:t>FTC Solar’s senior management will host a conference call for members of the investment community at 8:30 a.m. E.T. today, during which the company will discuss its second quarter results, its outlook and other business items. This call will be webcast and can be accessed within the Investor Relations section of FTC Solar's website at https://investor.ftcsolar.com. A replay of the conference call will also be available on the website for 30 days following the webcast.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FTC Solar Inc.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Founded in 2017 by a group of renewable energy industry veterans, FTC Solar is a global provider of solar tracker systems, technology, software, and engineering services. Solar trackers significantly increase energy production at solar power installations by dynamically optimizing solar panel orientation to the sun. FTC Solar’s innovative tracker designs provide compelling performance and reliability, with an industry-leading installation cost-per-watt advantage.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Footnotes</w:t>
      </w:r>
    </w:p>
    <w:p>
      <w:pPr>
        <w:pStyle w:val="TextBody"/>
        <w:bidi w:val="0"/>
        <w:spacing w:before="0" w:after="120"/>
        <w:jc w:val="both"/>
        <w:rPr>
          <w:rFonts w:ascii="Times New Roman" w:hAnsi="Times New Roman"/>
          <w:sz w:val="20"/>
        </w:rPr>
      </w:pPr>
      <w:r>
        <w:rPr>
          <w:rFonts w:ascii="Times New Roman" w:hAnsi="Times New Roman"/>
          <w:color w:val="000000"/>
          <w:sz w:val="18"/>
        </w:rPr>
        <w:t xml:space="preserve">1. A reconciliation of the prior sequential quarter </w:t>
      </w:r>
      <w:r>
        <w:rPr>
          <w:rFonts w:ascii="Times New Roman" w:hAnsi="Times New Roman"/>
          <w:color w:val="000000"/>
          <w:sz w:val="16"/>
        </w:rPr>
        <w:t>Non-GAAP financial measures to the nearest comparable GAAP</w:t>
      </w:r>
      <w:r>
        <w:rPr>
          <w:rFonts w:ascii="Times New Roman" w:hAnsi="Times New Roman"/>
          <w:color w:val="000000"/>
          <w:sz w:val="20"/>
        </w:rPr>
        <w:t xml:space="preserve"> </w:t>
      </w:r>
      <w:r>
        <w:rPr>
          <w:rFonts w:ascii="Times New Roman" w:hAnsi="Times New Roman"/>
          <w:color w:val="000000"/>
          <w:sz w:val="18"/>
        </w:rPr>
        <w:t>measures may be found in Exhibit 99.1 of our Form 8-K filed on May 5, 2026.</w:t>
      </w:r>
    </w:p>
    <w:p>
      <w:pPr>
        <w:pStyle w:val="TextBody"/>
        <w:bidi w:val="0"/>
        <w:jc w:val="both"/>
        <w:rPr>
          <w:rFonts w:ascii="Times New Roman" w:hAnsi="Times New Roman"/>
          <w:sz w:val="20"/>
        </w:rPr>
      </w:pPr>
      <w:r>
        <w:rPr>
          <w:rFonts w:ascii="Times New Roman" w:hAnsi="Times New Roman"/>
          <w:color w:val="000000"/>
          <w:sz w:val="18"/>
        </w:rPr>
        <w:t>2. The term ‘backlog’ or ‘contracted and awarded’ refers to the combination of our executed contracts (contracted) and awarded orders (awarded), which are orders that have been documented and signed through a contract, where we are in the process of documenting a contract but for which a contract has not yet been signed, or that have been awarded in writing or verbally with a mutual understanding that the order will be contracted in the future. In the case of certain projects, including those that are scheduled for delivery on later dates, we have not locked in binding pricing with customers, and we instead use estimated average selling price to calculate the revenue included in our contracted and awarded orders for such projects. Actual revenue for these projects could differ once contracts with binding pricing are executed, and there is also a risk that a contract may never be executed for an awarded but uncontracted project, or that a contract may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executed for an awarded but uncontracted project at a date that is later than anticipated, or that a contract once executed may be subsequently amended, supplemented, rescinded, cancelled or breached, including in a manner that impacts the timing and amounts of payments due thereunder, thus reducing anticipated revenues. Please refer to our SEC filings, including our Form 10-K, for more information on our contracted and awarded orders, including risk factors.</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 We do not provide a quantitative reconciliation of our forward-looking Non-GAAP guidance measures to the most directly comparable GAAP financial measures because certain information needed to reconcile those measures is not available without unreasonable efforts due to the inherent difficulty in forecasting and quantifying these measures as a result of changes in project schedules by our customers that may occur, which are outside of our control, and the impact, if any, of credit loss provisions, asset impairment charges, restructuring or changes in the timing and level of indirect or overhead spending, as well as other matters, that could occur which could significantly impact the related GAAP financial measures.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both"/>
        <w:rPr>
          <w:rFonts w:ascii="Times New Roman" w:hAnsi="Times New Roman"/>
          <w:color w:val="000000"/>
          <w:sz w:val="22"/>
        </w:rPr>
      </w:pPr>
      <w:r>
        <w:rPr>
          <w:rFonts w:ascii="Times New Roman" w:hAnsi="Times New Roman"/>
          <w:color w:val="000000"/>
          <w:sz w:val="22"/>
        </w:rPr>
        <w:t>This press release contains forward looking statements. These statements are not historical facts but rather are based on our current expectations and projections regarding our business, operations and other factors relating thereto. Words such as “may,” “will,” “could,” “would,” “should,” “anticipate,” “predict,” “potential,” “continue,” “expects,” “intends,” “plans,” “projects,” “believes,” “estimates” and similar expressions are used to identify these forward-looking statements. These statements are only predictions and as such are not guarantees of future performance and involve risks, uncertainties and assumptions that are difficult to predict, including, without limitation, the risks and uncertainties described in more detail above and in our filings with the U.S. Securities and Exchange Commission, including the “Risk Factors” and “Management’s Discussion and Analysis of Financial Condition and Results of Operations” sections of our Annual Report on Form 10-K filed with the U.S. Securities and Exchange Commission (the “SEC”), our Quarterly Reports on Form 10-Q, and other documents, including Current Reports on Form 8-K, that we have filed, or will file, with the SEC. You should not rely on our forward-looking statements as predictions of future events, as actual results may differ materially from those in the forward-looking statements as a result of certain risks and uncertainties, including, without limitation, the risks and uncertainties described in more detail above and in our filings with the SEC, including the “Risk Factors” and “Management’s Discussion and Analysis of Financial Condition and Results of Operations” sections of our Annual Report on Form 10-K filed with the SEC, our Quarterly Reports on Form 10-Q, and other documents, including Current Reports on Form 8-K, that we have filed, or will file, with the SEC. Any forward-looking statements in this release speak only as of the date on which they are made. FTC Solar undertakes no duty or obligation to update any forward-looking statements contained in this release as a result of new information, future events or changes in its expectations, except as required by law.</w:t>
      </w:r>
    </w:p>
    <w:p>
      <w:pPr>
        <w:pStyle w:val="TextBody"/>
        <w:bidi w:val="0"/>
        <w:spacing w:before="160" w:after="283"/>
        <w:jc w:val="both"/>
        <w:rPr/>
      </w:pPr>
      <w:r>
        <w:rPr/>
        <w:t> </w:t>
      </w:r>
    </w:p>
    <w:p>
      <w:pPr>
        <w:pStyle w:val="TextBody"/>
        <w:bidi w:val="0"/>
        <w:jc w:val="left"/>
        <w:rPr>
          <w:rFonts w:ascii="Times New Roman" w:hAnsi="Times New Roman"/>
          <w:b/>
          <w:color w:val="231F20"/>
          <w:sz w:val="22"/>
        </w:rPr>
      </w:pPr>
      <w:r>
        <w:rPr>
          <w:rFonts w:ascii="Times New Roman" w:hAnsi="Times New Roman"/>
          <w:b/>
          <w:color w:val="231F20"/>
          <w:sz w:val="22"/>
        </w:rPr>
        <w:t>FTC Solar Investor Contact:</w:t>
      </w:r>
    </w:p>
    <w:p>
      <w:pPr>
        <w:pStyle w:val="TextBody"/>
        <w:bidi w:val="0"/>
        <w:jc w:val="left"/>
        <w:rPr>
          <w:rFonts w:ascii="Times New Roman" w:hAnsi="Times New Roman"/>
          <w:color w:val="231F20"/>
          <w:sz w:val="22"/>
        </w:rPr>
      </w:pPr>
      <w:r>
        <w:rPr>
          <w:rFonts w:ascii="Times New Roman" w:hAnsi="Times New Roman"/>
          <w:color w:val="231F20"/>
          <w:sz w:val="22"/>
        </w:rPr>
        <w:t xml:space="preserve">Bill Michalek </w:t>
        <w:br/>
        <w:t xml:space="preserve">Vice President, Investor Relations </w:t>
        <w:br/>
        <w:t>FTC Solar</w:t>
        <w:br/>
        <w:t xml:space="preserve">T: (737) 241-8618 </w:t>
        <w:br/>
        <w:t>E: IR@FTCSolar.com</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FTC Solar,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Results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Atlas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15,809,947</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6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22,635,642</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12,948,189</w:t>
            </w:r>
          </w:p>
        </w:tc>
        <w:tc>
          <w:tcPr>
            <w:tcW w:w="6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FTC Solar,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1"/>
        <w:gridCol w:w="146"/>
        <w:gridCol w:w="211"/>
        <w:gridCol w:w="841"/>
        <w:gridCol w:w="166"/>
        <w:gridCol w:w="146"/>
        <w:gridCol w:w="263"/>
        <w:gridCol w:w="1049"/>
        <w:gridCol w:w="512"/>
      </w:tblGrid>
      <w:tr>
        <w:trPr/>
        <w:tc>
          <w:tcPr>
            <w:tcW w:w="6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21,105</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 of allowance for credit losses of $3,031 and $3,069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55,743</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97,769</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111,812</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12,681</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23,770</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10,725</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74,515</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154,770</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par value of $0.0001 per share, 10,000,000 shares authorized; none issued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par value of $0.0001 per share, 850,000,000 shares authorized; 16,455,751 and 15,537,344 shares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Treasury stock, at cost; 1,076,257 shares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384,648</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5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(427,318</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(42,958</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8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111,812</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FTC Solar, Inc.</w:t>
      </w:r>
    </w:p>
    <w:p>
      <w:pPr>
        <w:pStyle w:val="TextBody"/>
        <w:bidi w:val="0"/>
        <w:jc w:val="center"/>
        <w:rPr>
          <w:rFonts w:ascii="Times New Roman" w:hAnsi="Times New Roman"/>
          <w:b/>
          <w:color w:val="000000"/>
          <w:sz w:val="18"/>
        </w:rPr>
      </w:pPr>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8324" w:type="dxa"/>
        <w:jc w:val="left"/>
        <w:tblInd w:w="0" w:type="dxa"/>
        <w:tblLayout w:type="fixed"/>
        <w:tblCellMar>
          <w:top w:w="28" w:type="dxa"/>
          <w:left w:w="28" w:type="dxa"/>
          <w:bottom w:w="28" w:type="dxa"/>
          <w:right w:w="28" w:type="dxa"/>
        </w:tblCellMar>
      </w:tblPr>
      <w:tblGrid>
        <w:gridCol w:w="5641"/>
        <w:gridCol w:w="146"/>
        <w:gridCol w:w="196"/>
        <w:gridCol w:w="661"/>
        <w:gridCol w:w="166"/>
        <w:gridCol w:w="146"/>
        <w:gridCol w:w="196"/>
        <w:gridCol w:w="661"/>
        <w:gridCol w:w="51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discount and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Paid-in-kind non-cash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obsolete and slow-moving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from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from disposal of investment in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Warranties issued and remediation added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Warranty recoverable from manufacturer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Credit loss provisions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on cash from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Accruals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payments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Atlas software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disposal of investment in unconsolidated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of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offering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costs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Notes to Reconciliations of Non-GAAP Financial Measures to Nearest Comparable GAAP Measures</w:t>
      </w:r>
    </w:p>
    <w:p>
      <w:pPr>
        <w:pStyle w:val="TextBody"/>
        <w:bidi w:val="0"/>
        <w:jc w:val="both"/>
        <w:rPr>
          <w:rFonts w:ascii="Times New Roman" w:hAnsi="Times New Roman"/>
          <w:color w:val="231F20"/>
          <w:sz w:val="22"/>
        </w:rPr>
      </w:pPr>
      <w:r>
        <w:rPr>
          <w:rFonts w:ascii="Times New Roman" w:hAnsi="Times New Roman"/>
          <w:color w:val="231F20"/>
          <w:sz w:val="22"/>
        </w:rPr>
        <w:t>We utilize Adjusted EBITDA, Adjusted Net Loss, and Adjusted EPS as supplemental measures of our performance. We define Adjusted EBITDA as net income (loss) plus (i) provision for (benefit from) income taxes, (ii) interest expense, less interest income, (iii) depreciation expense, (iv) amortization expense, (v) stock-based compensation, (vi) loss from changes in the fair value of our warrant liability, and (vii) Chief Executive Officer ("CEO") transition costs, non-routine legal fees, costs associated with our reverse stock split, severance and certain other costs (credits). We also deduct (i) the contingent gains arising from earnout payments and project escrow releases relating to the disposal of our investment in an unconsolidated subsidiary, and (ii) gains from changes in the fair value of our warrant liability from net income or loss in arriving at Adjusted EBITDA. We define Adjusted Net Loss as net income (loss) plus (i) amortization of debt discount and issue costs and intangibles, (ii) stock-based compensation, (iii) loss from changes in the fair value of our warrant liability, (iv) CEO transition costs, non-routine legal fees, costs associated with our reverse stock split, severance and certain other costs (credits), and (v) the income tax expense (benefit) of those adjustments, if any. We also deduct (i) the contingent gains arising from earnout payments and project escrow releases relating to the disposal of our investment in an unconsolidated subsidiary, and (ii) gains from changes in the fair value of our warrant liability from net income (loss) in arriving at Adjusted Net Loss. Adjusted EPS is defined as Adjusted Net Loss on a per share basis using our weighted average diluted shares outstanding.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2"/>
        </w:rPr>
        <w:t xml:space="preserve">Non-GAAP gross profit (loss), Non-GAAP operating expense, </w:t>
      </w:r>
      <w:r>
        <w:rPr>
          <w:rFonts w:ascii="Times New Roman" w:hAnsi="Times New Roman"/>
          <w:color w:val="000000"/>
          <w:sz w:val="22"/>
        </w:rPr>
        <w:t>Adjusted EBITDA, Adjusted Net Loss and Adjusted EPS are intended as supplemental measures of performance that are neither required by, nor presented in accordance with, U.S. generally accepted accounting principles (“GAAP”). We present these Non-GAAP measures, many of which are commonly used by investors and analysts, because we believe they assist those investors and analysts in comparing our performance across reporting periods on an ongoing basis by excluding items that we do not believe are indicative of our core operating performance. In addition, we use Adjusted EBITDA, Adjusted Net Loss and Adjusted EPS to evaluate the effectiveness of our business strategies.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31F20"/>
          <w:sz w:val="22"/>
        </w:rPr>
        <w:t>Non-GAAP gross profit (loss), Non-GAAP operating expense, Adjusted EBITDA, Adjusted Net Loss and Adjusted EPS should not be considered in isolation or as substitutes for performance measures calculated in accordance with GAAP, and you should not rely on any single financial measure to evaluate our business. These Non-GAAP financial measures, when presented, are reconciled to the most closely applicable GAAP measure as disclosed below.</w:t>
      </w:r>
      <w:r>
        <w:rPr>
          <w:rFonts w:ascii="Times New Roman" w:hAnsi="Times New Roman"/>
          <w:color w:val="231F20"/>
          <w:sz w:val="20"/>
        </w:rPr>
        <w:t xml:space="preserve"> </w:t>
      </w:r>
    </w:p>
    <w:p>
      <w:pPr>
        <w:pStyle w:val="TextBody"/>
        <w:bidi w:val="0"/>
        <w:jc w:val="both"/>
        <w:rPr/>
      </w:pPr>
      <w:r>
        <w:rPr/>
        <w:t> </w:t>
      </w:r>
    </w:p>
    <w:p>
      <w:pPr>
        <w:pStyle w:val="TextBody"/>
        <w:bidi w:val="0"/>
        <w:spacing w:before="0" w:after="120"/>
        <w:jc w:val="both"/>
        <w:rPr>
          <w:rFonts w:ascii="Times New Roman" w:hAnsi="Times New Roman"/>
          <w:color w:val="231F20"/>
          <w:sz w:val="22"/>
        </w:rPr>
      </w:pPr>
      <w:r>
        <w:rPr>
          <w:rFonts w:ascii="Times New Roman" w:hAnsi="Times New Roman"/>
          <w:color w:val="231F20"/>
          <w:sz w:val="22"/>
        </w:rPr>
        <w:t>The following table reconciles Non-GAAP gross loss to the most closely related GAAP measure for the three and six months ended June 30, 2026 and 2025, respectively:</w:t>
      </w:r>
    </w:p>
    <w:tbl>
      <w:tblPr>
        <w:tblW w:w="8712" w:type="dxa"/>
        <w:jc w:val="left"/>
        <w:tblInd w:w="0" w:type="dxa"/>
        <w:tblLayout w:type="fixed"/>
        <w:tblCellMar>
          <w:top w:w="28" w:type="dxa"/>
          <w:left w:w="28" w:type="dxa"/>
          <w:bottom w:w="28" w:type="dxa"/>
          <w:right w:w="28" w:type="dxa"/>
        </w:tblCellMar>
      </w:tblPr>
      <w:tblGrid>
        <w:gridCol w:w="3211"/>
        <w:gridCol w:w="146"/>
        <w:gridCol w:w="211"/>
        <w:gridCol w:w="676"/>
        <w:gridCol w:w="331"/>
        <w:gridCol w:w="146"/>
        <w:gridCol w:w="211"/>
        <w:gridCol w:w="676"/>
        <w:gridCol w:w="331"/>
        <w:gridCol w:w="146"/>
        <w:gridCol w:w="211"/>
        <w:gridCol w:w="676"/>
        <w:gridCol w:w="331"/>
        <w:gridCol w:w="146"/>
        <w:gridCol w:w="211"/>
        <w:gridCol w:w="676"/>
        <w:gridCol w:w="37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26,157</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19,993</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43,422</w:t>
            </w:r>
          </w:p>
        </w:tc>
        <w:tc>
          <w:tcPr>
            <w:tcW w:w="3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40,796</w:t>
            </w:r>
          </w:p>
        </w:tc>
        <w:tc>
          <w:tcPr>
            <w:tcW w:w="3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gross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33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3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color w:val="231F20"/>
          <w:sz w:val="22"/>
        </w:rPr>
      </w:pPr>
      <w:r>
        <w:rPr>
          <w:rFonts w:ascii="Times New Roman" w:hAnsi="Times New Roman"/>
          <w:color w:val="231F20"/>
          <w:sz w:val="22"/>
        </w:rPr>
        <w:t>The following table reconciles Non-GAAP operating expenses to the most closely related GAAP measure for the three and six months ended June 30, 2026 and 2025, respectively:</w:t>
      </w:r>
    </w:p>
    <w:tbl>
      <w:tblPr>
        <w:tblW w:w="7789" w:type="dxa"/>
        <w:jc w:val="left"/>
        <w:tblInd w:w="0" w:type="dxa"/>
        <w:tblLayout w:type="fixed"/>
        <w:tblCellMar>
          <w:top w:w="28" w:type="dxa"/>
          <w:left w:w="28" w:type="dxa"/>
          <w:bottom w:w="28" w:type="dxa"/>
          <w:right w:w="28" w:type="dxa"/>
        </w:tblCellMar>
      </w:tblPr>
      <w:tblGrid>
        <w:gridCol w:w="2716"/>
        <w:gridCol w:w="146"/>
        <w:gridCol w:w="236"/>
        <w:gridCol w:w="757"/>
        <w:gridCol w:w="186"/>
        <w:gridCol w:w="163"/>
        <w:gridCol w:w="236"/>
        <w:gridCol w:w="640"/>
        <w:gridCol w:w="166"/>
        <w:gridCol w:w="146"/>
        <w:gridCol w:w="211"/>
        <w:gridCol w:w="676"/>
        <w:gridCol w:w="166"/>
        <w:gridCol w:w="146"/>
        <w:gridCol w:w="211"/>
        <w:gridCol w:w="676"/>
        <w:gridCol w:w="3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CEO transition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Reverse stock split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8,482</w:t>
            </w:r>
          </w:p>
        </w:tc>
        <w:tc>
          <w:tcPr>
            <w:tcW w:w="1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231F20"/>
          <w:sz w:val="22"/>
        </w:rPr>
      </w:pPr>
      <w:r>
        <w:rPr>
          <w:rFonts w:ascii="Times New Roman" w:hAnsi="Times New Roman"/>
          <w:color w:val="231F20"/>
          <w:sz w:val="22"/>
        </w:rPr>
        <w:t>The following table reconciles Non-GAAP Adjusted EBITDA to the related GAAP measure of loss from operations for the three and six months ended June 30, 2026 and 2025, respectively:</w:t>
      </w:r>
    </w:p>
    <w:tbl>
      <w:tblPr>
        <w:tblW w:w="8400" w:type="dxa"/>
        <w:jc w:val="left"/>
        <w:tblInd w:w="0" w:type="dxa"/>
        <w:tblLayout w:type="fixed"/>
        <w:tblCellMar>
          <w:top w:w="28" w:type="dxa"/>
          <w:left w:w="28" w:type="dxa"/>
          <w:bottom w:w="28" w:type="dxa"/>
          <w:right w:w="28" w:type="dxa"/>
        </w:tblCellMar>
      </w:tblPr>
      <w:tblGrid>
        <w:gridCol w:w="3206"/>
        <w:gridCol w:w="146"/>
        <w:gridCol w:w="212"/>
        <w:gridCol w:w="741"/>
        <w:gridCol w:w="167"/>
        <w:gridCol w:w="146"/>
        <w:gridCol w:w="212"/>
        <w:gridCol w:w="741"/>
        <w:gridCol w:w="166"/>
        <w:gridCol w:w="146"/>
        <w:gridCol w:w="211"/>
        <w:gridCol w:w="736"/>
        <w:gridCol w:w="166"/>
        <w:gridCol w:w="146"/>
        <w:gridCol w:w="211"/>
        <w:gridCol w:w="736"/>
        <w:gridCol w:w="3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GAAP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CEO transition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Reverse stock split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Severance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sale of Atlas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unconsolidated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both"/>
        <w:rPr>
          <w:rFonts w:ascii="Times New Roman" w:hAnsi="Times New Roman"/>
          <w:color w:val="231F20"/>
          <w:sz w:val="22"/>
        </w:rPr>
      </w:pPr>
      <w:r>
        <w:rPr>
          <w:rFonts w:ascii="Times New Roman" w:hAnsi="Times New Roman"/>
          <w:color w:val="231F20"/>
          <w:sz w:val="22"/>
        </w:rPr>
        <w:t>The following table reconciles Non-GAAP Adjusted EBITDA and Adjusted Net Loss to the related GAAP measure of net income (loss) for the three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3742"/>
        <w:gridCol w:w="146"/>
        <w:gridCol w:w="267"/>
        <w:gridCol w:w="931"/>
        <w:gridCol w:w="166"/>
        <w:gridCol w:w="146"/>
        <w:gridCol w:w="225"/>
        <w:gridCol w:w="1109"/>
        <w:gridCol w:w="166"/>
        <w:gridCol w:w="146"/>
        <w:gridCol w:w="267"/>
        <w:gridCol w:w="931"/>
        <w:gridCol w:w="166"/>
        <w:gridCol w:w="146"/>
        <w:gridCol w:w="225"/>
        <w:gridCol w:w="1109"/>
        <w:gridCol w:w="317"/>
      </w:tblGrid>
      <w:tr>
        <w:trPr/>
        <w:tc>
          <w:tcPr>
            <w:tcW w:w="3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shares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EBITDA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Adjusted Net Loss</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U.S. GAAP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(15,430</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Reconciling items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discount and issue costs in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Loss from change in fair value of warrant liability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CEO transition</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w:t>
            </w:r>
          </w:p>
        </w:tc>
        <w:tc>
          <w:tcPr>
            <w:tcW w:w="31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Non-GAAP net loss per share (Adjusted EPS):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317"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16,048,941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8"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13,098,825</w:t>
            </w:r>
          </w:p>
        </w:tc>
        <w:tc>
          <w:tcPr>
            <w:tcW w:w="31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0"/>
        <w:gridCol w:w="9925"/>
      </w:tblGrid>
      <w:tr>
        <w:trPr/>
        <w:tc>
          <w:tcPr>
            <w:tcW w:w="280" w:type="dxa"/>
            <w:tcBorders/>
            <w:vAlign w:val="center"/>
          </w:tcPr>
          <w:p>
            <w:pPr>
              <w:pStyle w:val="TableContents"/>
              <w:bidi w:val="0"/>
              <w:spacing w:before="0" w:after="283"/>
              <w:jc w:val="left"/>
              <w:rPr>
                <w:sz w:val="4"/>
                <w:szCs w:val="4"/>
              </w:rPr>
            </w:pPr>
            <w:r>
              <w:rPr>
                <w:sz w:val="4"/>
                <w:szCs w:val="4"/>
              </w:rPr>
            </w:r>
          </w:p>
        </w:tc>
        <w:tc>
          <w:tcPr>
            <w:tcW w:w="9925" w:type="dxa"/>
            <w:tcBorders/>
            <w:vAlign w:val="center"/>
          </w:tcPr>
          <w:p>
            <w:pPr>
              <w:pStyle w:val="TableContents"/>
              <w:bidi w:val="0"/>
              <w:spacing w:before="0" w:after="283"/>
              <w:jc w:val="left"/>
              <w:rPr>
                <w:sz w:val="4"/>
                <w:szCs w:val="4"/>
              </w:rPr>
            </w:pPr>
            <w:r>
              <w:rPr>
                <w:sz w:val="4"/>
                <w:szCs w:val="4"/>
              </w:rPr>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w:t>
            </w:r>
          </w:p>
        </w:tc>
        <w:tc>
          <w:tcPr>
            <w:tcW w:w="99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We exclude non-cash changes in the fair value of our outstanding warrants as we do not consider such changes to impact or reflect changes in our core operating performance.</w:t>
            </w:r>
          </w:p>
        </w:tc>
      </w:tr>
      <w:tr>
        <w:trPr/>
        <w:tc>
          <w:tcPr>
            <w:tcW w:w="2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w:t>
            </w:r>
          </w:p>
        </w:tc>
        <w:tc>
          <w:tcPr>
            <w:tcW w:w="992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 April 2026, we transitioned to a new CEO. As a result of that change, we recognized approximately $1.2 million in severance costs associated with our former CEO. We also agreed to pay an upfront sign-on bonus to our new CEO in two equal annual installments in April 2027 and April 2028. We are accruing the cost of these sign-on bonus payments over the service period of our new CEO. Upon hiring our former CEO in August 2024, we had agreed to upfront and incremental sign-on bonuses (collectively, the " former CEO sign-on bonuses"). These former CEO sign-on bonuses were expensed over the applicable service periods of our former CEO through April 2026. We do not view the sign-on bonuses to be paid to our new CEO or those paid to our former CEO as being part of their normal ongoing annual compensation arrangements.</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38217</Words>
  <Characters>203119</Characters>
  <CharactersWithSpaces>241503</CharactersWithSpaces>
  <Paragraphs>3592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