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FTC Solar,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001-40350</w:t>
            </w:r>
          </w:p>
        </w:tc>
        <w:tc>
          <w:tcPr>
            <w:tcW w:w="4060" w:type="dxa"/>
            <w:vAlign w:val="bottom"/>
            <w:gridSpan w:val="2"/>
          </w:tcPr>
          <w:p>
            <w:pPr>
              <w:jc w:val="right"/>
              <w:ind w:right="1413"/>
              <w:spacing w:after="0"/>
              <w:rPr>
                <w:sz w:val="20"/>
                <w:szCs w:val="20"/>
                <w:color w:val="auto"/>
              </w:rPr>
            </w:pPr>
            <w:r>
              <w:rPr>
                <w:rFonts w:ascii="Times New Roman" w:cs="Times New Roman" w:eastAsia="Times New Roman" w:hAnsi="Times New Roman"/>
                <w:sz w:val="18"/>
                <w:szCs w:val="18"/>
                <w:b w:val="1"/>
                <w:bCs w:val="1"/>
                <w:color w:val="auto"/>
              </w:rPr>
              <w:t>81-4816270</w:t>
            </w:r>
          </w:p>
        </w:tc>
      </w:tr>
      <w:tr>
        <w:trPr>
          <w:trHeight w:val="125"/>
        </w:trPr>
        <w:tc>
          <w:tcPr>
            <w:tcW w:w="43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tcPr>
          <w:p>
            <w:pPr>
              <w:jc w:val="center"/>
              <w:ind w:right="281"/>
              <w:spacing w:after="0" w:line="126"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 w:type="dxa"/>
            <w:vAlign w:val="bottom"/>
          </w:tcPr>
          <w:p>
            <w:pPr>
              <w:spacing w:after="0"/>
              <w:rPr>
                <w:sz w:val="10"/>
                <w:szCs w:val="10"/>
                <w:color w:val="auto"/>
              </w:rPr>
            </w:pPr>
          </w:p>
        </w:tc>
        <w:tc>
          <w:tcPr>
            <w:tcW w:w="384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488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9"/>
        </w:trPr>
        <w:tc>
          <w:tcPr>
            <w:tcW w:w="7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10900 Stonelake Blvd, Suite 100, Quarry Oaks II Building, Austin, Texas</w:t>
            </w:r>
          </w:p>
        </w:tc>
        <w:tc>
          <w:tcPr>
            <w:tcW w:w="4060" w:type="dxa"/>
            <w:vAlign w:val="bottom"/>
            <w:gridSpan w:val="2"/>
          </w:tcPr>
          <w:p>
            <w:pPr>
              <w:jc w:val="right"/>
              <w:ind w:right="1633"/>
              <w:spacing w:after="0"/>
              <w:rPr>
                <w:sz w:val="20"/>
                <w:szCs w:val="20"/>
                <w:color w:val="auto"/>
              </w:rPr>
            </w:pPr>
            <w:r>
              <w:rPr>
                <w:rFonts w:ascii="Times New Roman" w:cs="Times New Roman" w:eastAsia="Times New Roman" w:hAnsi="Times New Roman"/>
                <w:sz w:val="18"/>
                <w:szCs w:val="18"/>
                <w:b w:val="1"/>
                <w:bCs w:val="1"/>
                <w:color w:val="auto"/>
              </w:rPr>
              <w:t>78759</w:t>
            </w:r>
          </w:p>
        </w:tc>
      </w:tr>
      <w:tr>
        <w:trPr>
          <w:trHeight w:val="172"/>
        </w:trPr>
        <w:tc>
          <w:tcPr>
            <w:tcW w:w="4880" w:type="dxa"/>
            <w:vAlign w:val="bottom"/>
            <w:tcBorders>
              <w:top w:val="single" w:sz="8" w:color="auto"/>
            </w:tcBorders>
            <w:gridSpan w:val="3"/>
          </w:tcPr>
          <w:p>
            <w:pPr>
              <w:jc w:val="center"/>
              <w:ind w:left="222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3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481-4271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34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FTCI</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1"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2026, FTC Solar, Inc. (the "Company") issued a press release regarding its financial results for the first quarter ended March 31, 2026. A copy of the Company's press release is furnished herewith as Exhibit 99.1.</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this Item 2.02 and Exhibit 99.1 furnished herewith shall not be deemed "filed" for purposes of Section 18 of the Securities Exchange Act of 1934, as amended, or incorporated by reference in any filing under the Securities Act of 1933, as amended, except as shall be expressly set forth by specific reference in such a filing.</w:t>
      </w:r>
    </w:p>
    <w:p>
      <w:pPr>
        <w:spacing w:after="0" w:line="280" w:lineRule="exact"/>
        <w:rPr>
          <w:sz w:val="20"/>
          <w:szCs w:val="20"/>
          <w:color w:val="auto"/>
        </w:rPr>
      </w:pPr>
    </w:p>
    <w:p>
      <w:pPr>
        <w:ind w:left="1080" w:right="180" w:hanging="112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Transition of President and Chief Executive Officer</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29, 2026, the Board of Directors of the Company (the “Board”) appointed Anthony Carroll as the Company’s President and Chief Executive Officer, effective as of April 29, 2026. As a result, Yann Brandt departed as the Company’s President and Chief Executive Officer and as a Company director, effective as of April 29, 2026.</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Carroll, 42, has served on the Company's Board since December 15, 2025. Mr. Carroll previously served as Chief Executive Officer until April 2026 of Veev, a wholly-owned subsidiary of Lennar focused on efficient and sustainable homebuilding. Prior to joining Veev in early 2024, Mr. Carroll was the President of Powin, a global leader in energy storage systems. Before joining Powin in 2022, Mr. Carroll served as Managing Director at Siemens Gamesa Electric, leading the Power Conversion and Energy Storage business in North America. Mr. Carroll also served in leadership roles for Schneider Electric and Power Electronics. Mr. Carroll holds an MBA from Rey Juan Carlos University in Madrid and a Licentiate degree from the University of Valencia.</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Carroll and the Company’s directors and executive officers, no arrangements or understandings between Mr. Carroll and any other person requiring disclosure under Item 401(b) of Regulation S-K, and no transactions with related persons requiring disclosure under Item 404(a) of Regulation 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Anthony Carroll Employment Agreement</w:t>
      </w:r>
    </w:p>
    <w:p>
      <w:pPr>
        <w:spacing w:after="0" w:line="1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connection with Mr. Carroll’s appointment as President and Chief Executive Officer, the Company and Mr. Carroll entered into an employment agreement dated May 4, 2026 (the “Employment Agreement”). The Employment Agreement provides for the following.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Carroll will receive an annual base salary of $700,000. His annual target incentive award will be 100% of his base salary, with the potential to receive a maximum of 200% of his base salary upon achievement of certain overperformance goals. The annual target incentive award will be based on the achievement of performance criteria established by the Board or the Compensation Committee of the Board.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Carroll will receive a sign-on cash payment of $900,000 (the “Sign-On Bonus Payment”) payable in three installments of $300,000 on September 1, 2027, September 1, 2028 and September 1, 2029 (each, a “Sign-On Bonus Payment Date”), so long as Mr. Carroll is an active employee on the applicable Sign-On Bonus Payment Date. The Sign-On Bonus Payment is subject to certain repayment provisions in the event that Mr. Carroll’s employment is terminated by the Company for cause (as defined in the Employment Agreement) or Mr. Carroll resigns his employment other than for good reason (as defined in the Employment Agreement) prior to the second anniversary of his appointment as Chief Executive Officer and President.</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grant to Mr. Carroll the following restricted stock units (“RSUs”) pursuant to and subject to the Company’s 2021 Stock Plan, as amended.</w:t>
      </w:r>
    </w:p>
    <w:p>
      <w:pPr>
        <w:spacing w:after="0" w:line="53" w:lineRule="exact"/>
        <w:rPr>
          <w:rFonts w:ascii="Times New Roman" w:cs="Times New Roman" w:eastAsia="Times New Roman" w:hAnsi="Times New Roman"/>
          <w:sz w:val="18"/>
          <w:szCs w:val="18"/>
          <w:color w:val="auto"/>
        </w:rPr>
      </w:pPr>
    </w:p>
    <w:p>
      <w:pPr>
        <w:ind w:left="1540" w:hanging="50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o400,000 RSUs (the “Time-Based RSUs”) that will vest as follows: (1) 200,000 of the Time-Based RSUs (the “Three-Year Time-Based RSUs”) will vest over a three-year period with 33.33% of the Three-Year Time-Based RSUs vesting on the first anniversary of the grant date and with 1/36 of the Three-Year Time-Based RSUs vesting at the end of each month during the 24-month period following the first vesting date; and (2) 200,000 of the Time-Based RSUs (the “Four-Year Time-Based RSUs”) will vest over a four-year period with 25% of the Four-Year Time-Based RSUs vesting on the one-year anniversary of the grant date and with 1/48 of the Four-Year Time-Based RSUs vesting at the end of each month during the 36-month period following the first vesting date; and</w:t>
      </w:r>
    </w:p>
    <w:p>
      <w:pPr>
        <w:spacing w:after="0" w:line="79" w:lineRule="exact"/>
        <w:rPr>
          <w:rFonts w:ascii="Times New Roman" w:cs="Times New Roman" w:eastAsia="Times New Roman" w:hAnsi="Times New Roman"/>
          <w:sz w:val="18"/>
          <w:szCs w:val="18"/>
          <w:color w:val="auto"/>
        </w:rPr>
      </w:pPr>
    </w:p>
    <w:p>
      <w:pPr>
        <w:ind w:left="154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o200,000 RSUs (the “Share Target RSUs”) that will vest over a three-year period, subject to the attainment of the following common stock share value hurdles: (i) 50% of the Share Target RSUs are allocated to the achievement of a $10 Price Hurdle (as defined in the Employment Agreement), and (ii) 50% of the Share Target RSUs are allocated to the achievement of a $20 Price Hurdle. The Share Target RSUs will vest in accordance with the vesting calculation rules set forth in the Employment Agreement on the next subsequent anniversary of the grant date during the three-year performance period during which a Price Hurdle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Carroll will not be entitled to any other equity incentive awards during 2026, 2027 and 2028, except as the Board or the Compensation Committee of the Board (the “Compensation Committee”) otherwise determine.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Carroll will be eligible to participate in all benefit plans that the Company makes available to its executives generally.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Carroll is terminated by the Company without cause or if he resigns for good reason, other than on or following a change in control (as defined in the Employment Agreement), Mr. Carroll will be entitled to receive the following, provided he is in compliance with applicable restrictive covenants under the Employment Agreement and he signs a release which becomes effective: (i) cash severance equal to 1.5 times his base salary; (ii) his Time-Based RSUs will vest in full; (iii)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w:t>
      </w:r>
    </w:p>
    <w:p>
      <w:pPr>
        <w:spacing w:after="0" w:line="5" w:lineRule="exact"/>
        <w:rPr>
          <w:rFonts w:ascii="Times New Roman" w:cs="Times New Roman" w:eastAsia="Times New Roman" w:hAnsi="Times New Roman"/>
          <w:sz w:val="18"/>
          <w:szCs w:val="18"/>
          <w:color w:val="auto"/>
        </w:rPr>
      </w:pPr>
    </w:p>
    <w:p>
      <w:pPr>
        <w:jc w:val="both"/>
        <w:ind w:left="1020" w:firstLine="6"/>
        <w:spacing w:after="0" w:line="255" w:lineRule="auto"/>
        <w:tabs>
          <w:tab w:leader="none" w:pos="13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Sign-On Bonus Payment payable following the termination date; and (v) COBRA benefits and a lump sum payment equal to the cost of COBRA benefits for Mr. Carroll, his spouse and his eligible dependents for a period of 18 months following his termination.</w:t>
      </w:r>
    </w:p>
    <w:p>
      <w:pPr>
        <w:spacing w:after="0" w:line="77"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within 12 months following a change in control, Mr. Carroll is terminated by the Company without cause or if he resigns for good reason, Mr. Carroll will be entitled to receive the following, provided he is in compliance with applicable restrictive covenants under the Employment Agreement and he signs a release which becomes effective: (i) cash severance equal to two times the sum of his base salary and target bonus; (ii)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(iii) COBRA benefits and a lump sum payment equal to the cost of COBRA benefits for Mr. Carroll, his spouse and his eligible dependents for a period of 18 months following his termination; and (iv) his stock option awards will become fully vested and exercisable, his RSUs with time-based vesting (including the Time-Based RSUs) will vest in full, and his performance stock units (including the Share Target RSUs) will become vested in the full amount associated with a given performance condition that has been satisfied upon such change in control or within the 12 months after the change in control, including the share price of the Company that is achieved in connection with the valuation determined as part of the change in control.</w:t>
      </w:r>
    </w:p>
    <w:p>
      <w:pPr>
        <w:spacing w:after="0" w:line="2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23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Exhibit No.</w:t>
            </w:r>
          </w:p>
        </w:tc>
        <w:tc>
          <w:tcPr>
            <w:tcW w:w="4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340" w:type="dxa"/>
            <w:vAlign w:val="bottom"/>
            <w:gridSpan w:val="2"/>
          </w:tcPr>
          <w:p>
            <w:pPr>
              <w:jc w:val="center"/>
              <w:ind w:left="950"/>
              <w:spacing w:after="0" w:line="169"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Employment Agreement, dated May 4, 2026, between the Company and Anthony Carroll</w:t>
            </w: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340" w:type="dxa"/>
            <w:vAlign w:val="bottom"/>
            <w:gridSpan w:val="2"/>
          </w:tcPr>
          <w:p>
            <w:pPr>
              <w:jc w:val="center"/>
              <w:ind w:left="950"/>
              <w:spacing w:after="0" w:line="196"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040" w:type="dxa"/>
            <w:vAlign w:val="bottom"/>
          </w:tcPr>
          <w:p>
            <w:pPr>
              <w:spacing w:after="0"/>
              <w:rPr>
                <w:sz w:val="17"/>
                <w:szCs w:val="17"/>
                <w:color w:val="auto"/>
              </w:rPr>
            </w:pPr>
          </w:p>
        </w:tc>
        <w:tc>
          <w:tcPr>
            <w:tcW w:w="8860" w:type="dxa"/>
            <w:vAlign w:val="bottom"/>
            <w:gridSpan w:val="4"/>
          </w:tcPr>
          <w:p>
            <w:pPr>
              <w:ind w:left="400"/>
              <w:spacing w:after="0" w:line="196" w:lineRule="exact"/>
              <w:rPr>
                <w:sz w:val="20"/>
                <w:szCs w:val="20"/>
                <w:color w:val="auto"/>
              </w:rPr>
            </w:pPr>
            <w:r>
              <w:rPr>
                <w:rFonts w:ascii="Times New Roman" w:cs="Times New Roman" w:eastAsia="Times New Roman" w:hAnsi="Times New Roman"/>
                <w:sz w:val="18"/>
                <w:szCs w:val="18"/>
                <w:color w:val="0000FF"/>
              </w:rPr>
              <w:t>Press release by FTC Solar, Inc. dated May 5, 2026</w:t>
            </w: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40" w:type="dxa"/>
            <w:vAlign w:val="bottom"/>
          </w:tcPr>
          <w:p>
            <w:pPr>
              <w:spacing w:after="0"/>
              <w:rPr>
                <w:sz w:val="20"/>
                <w:szCs w:val="20"/>
                <w:color w:val="auto"/>
              </w:rPr>
            </w:pPr>
          </w:p>
        </w:tc>
        <w:tc>
          <w:tcPr>
            <w:tcW w:w="88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Cathy Behnen,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FTC SOLAR,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May 4, 2026, by and between FTC Solar,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together with its Affiliates,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and Anthony Carroll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WHEREAS, the Executive was appointed as the Company’s President and Chief Executive Officer effective as of April 29,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WHEREAS, the Executive and the Company wish to enter into this Agreement to set forth the terms and conditions herein in connection with the Executive’s appointment as the Company’s President and Chief Executive Officer.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hereinafter set forth and for other good and valuable consideration, the receipt of which are hereby acknowledged, the Parties hereto agree as follows:</w:t>
      </w:r>
    </w:p>
    <w:p>
      <w:pPr>
        <w:spacing w:after="0" w:line="185" w:lineRule="exact"/>
        <w:rPr>
          <w:sz w:val="20"/>
          <w:szCs w:val="20"/>
          <w:color w:val="auto"/>
        </w:rPr>
      </w:pPr>
    </w:p>
    <w:p>
      <w:pPr>
        <w:jc w:val="both"/>
        <w:ind w:left="580" w:hanging="557"/>
        <w:spacing w:after="0" w:line="238" w:lineRule="auto"/>
        <w:tabs>
          <w:tab w:leader="none" w:pos="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Executive’s employment with the Company Group under the terms and conditions of this Agreement shall commence as of the Effective Date and shall continue until such time as Executive’s employment is terminated in accordance with the terms and conditions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Notwithstanding any provision of this Agreement to the contrary, Executive shall be employed on an “at-will” basis and Executive’s employment may be terminated by either Party at any time.</w:t>
      </w:r>
    </w:p>
    <w:p>
      <w:pPr>
        <w:spacing w:after="0" w:line="203" w:lineRule="exact"/>
        <w:rPr>
          <w:rFonts w:ascii="Times New Roman" w:cs="Times New Roman" w:eastAsia="Times New Roman" w:hAnsi="Times New Roman"/>
          <w:sz w:val="22"/>
          <w:szCs w:val="22"/>
          <w:color w:val="auto"/>
        </w:rPr>
      </w:pPr>
    </w:p>
    <w:p>
      <w:pPr>
        <w:ind w:left="580" w:hanging="557"/>
        <w:spacing w:after="0"/>
        <w:tabs>
          <w:tab w:leader="none" w:pos="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Services and Duties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140" w:hanging="563"/>
        <w:spacing w:after="0" w:line="244" w:lineRule="auto"/>
        <w:tabs>
          <w:tab w:leader="none" w:pos="11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be employed by the Company as its President and Chief Executive Officer, and Executive shall report to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pursuant to the terms of this Agreement.</w:t>
      </w:r>
    </w:p>
    <w:p>
      <w:pPr>
        <w:spacing w:after="0" w:line="200" w:lineRule="exact"/>
        <w:rPr>
          <w:rFonts w:ascii="Times New Roman" w:cs="Times New Roman" w:eastAsia="Times New Roman" w:hAnsi="Times New Roman"/>
          <w:sz w:val="22"/>
          <w:szCs w:val="22"/>
          <w:color w:val="auto"/>
        </w:rPr>
      </w:pPr>
    </w:p>
    <w:p>
      <w:pPr>
        <w:jc w:val="both"/>
        <w:ind w:left="1140" w:hanging="563"/>
        <w:spacing w:after="0" w:line="235" w:lineRule="auto"/>
        <w:tabs>
          <w:tab w:leader="none" w:pos="11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(i) be a full-time employee of the Company, or such other member of the Company Group as determined by the Board, (ii) have such duties, responsibilities and authority as are reasonably prescribed by the Board from time to time and normally associated with the role of a president and chief executive officer at an entity of similar size and nature as the Company and (iii) devote substantially all of Executive’s business time and best efforts to the performance of his duties to the Company Group and shall not engage in any other business, profession or occupation for compensation without the written approval of the Board (which it may grant or deny in its discretion). Notwithstanding the foregoing, Executive may (x)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both"/>
        <w:ind w:left="1120"/>
        <w:spacing w:after="0" w:line="236" w:lineRule="auto"/>
        <w:rPr>
          <w:sz w:val="20"/>
          <w:szCs w:val="20"/>
          <w:color w:val="auto"/>
        </w:rPr>
      </w:pPr>
      <w:r>
        <w:rPr>
          <w:rFonts w:ascii="Times New Roman" w:cs="Times New Roman" w:eastAsia="Times New Roman" w:hAnsi="Times New Roman"/>
          <w:sz w:val="22"/>
          <w:szCs w:val="22"/>
          <w:color w:val="auto"/>
        </w:rPr>
        <w:t xml:space="preserve">or advisor of non-profit organizations without the prior approval of the Board, (y) perform and participate in charitable civic, educational, professional, community, industry affairs and other related activities, and (z) manage personal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activities described in the forgoing clauses (x) through (z) do not materially interfere, individually or in the aggregate, with the performance of his duties hereunder and do not materially breach any Proprietary Information and Inventions Agreement between Executive and the Company or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hereof or have an adverse impact on the Company Group.</w:t>
      </w:r>
    </w:p>
    <w:p>
      <w:pPr>
        <w:spacing w:after="0" w:line="208" w:lineRule="exact"/>
        <w:rPr>
          <w:sz w:val="20"/>
          <w:szCs w:val="20"/>
          <w:color w:val="auto"/>
        </w:rPr>
      </w:pPr>
    </w:p>
    <w:p>
      <w:pPr>
        <w:ind w:left="1120" w:hanging="563"/>
        <w:spacing w:after="0" w:line="258" w:lineRule="auto"/>
        <w:tabs>
          <w:tab w:leader="none" w:pos="11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work remotely from his home, although Executive understands and agrees that Executive will be required to travel regularly for business reasons.</w:t>
      </w:r>
    </w:p>
    <w:p>
      <w:pPr>
        <w:spacing w:after="0" w:line="185" w:lineRule="exact"/>
        <w:rPr>
          <w:rFonts w:ascii="Times New Roman" w:cs="Times New Roman" w:eastAsia="Times New Roman" w:hAnsi="Times New Roman"/>
          <w:sz w:val="22"/>
          <w:szCs w:val="22"/>
          <w:color w:val="auto"/>
        </w:rPr>
      </w:pPr>
    </w:p>
    <w:p>
      <w:pPr>
        <w:ind w:left="560" w:hanging="557"/>
        <w:spacing w:after="0"/>
        <w:tabs>
          <w:tab w:leader="none" w:pos="5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120" w:hanging="563"/>
        <w:spacing w:after="0"/>
        <w:tabs>
          <w:tab w:leader="none" w:pos="11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 and Sign-On Cash 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860" w:hanging="749"/>
        <w:spacing w:after="0" w:line="238" w:lineRule="auto"/>
        <w:tabs>
          <w:tab w:leader="none" w:pos="1860"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Executive a base salary in the amount of $700,000 per annum, as adjusted as permitted herein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payable in accordance the Company Group’s regular payroll practices as in effect from time to time. The Base Salary shall be periodically reviewed by the Board during the Term and subject to change upon reasonable notice, provided, however, that the Base Salary shall not be materially diminished during the Term.</w:t>
      </w:r>
    </w:p>
    <w:p>
      <w:pPr>
        <w:spacing w:after="0" w:line="203" w:lineRule="exact"/>
        <w:rPr>
          <w:rFonts w:ascii="Times New Roman" w:cs="Times New Roman" w:eastAsia="Times New Roman" w:hAnsi="Times New Roman"/>
          <w:sz w:val="22"/>
          <w:szCs w:val="22"/>
          <w:color w:val="auto"/>
        </w:rPr>
      </w:pPr>
    </w:p>
    <w:p>
      <w:pPr>
        <w:jc w:val="both"/>
        <w:ind w:left="1860" w:hanging="749"/>
        <w:spacing w:after="0" w:line="232" w:lineRule="auto"/>
        <w:tabs>
          <w:tab w:leader="none" w:pos="1860"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 sign-on bonus of $900,000 (the “</w:t>
      </w:r>
      <w:r>
        <w:rPr>
          <w:rFonts w:ascii="Times New Roman" w:cs="Times New Roman" w:eastAsia="Times New Roman" w:hAnsi="Times New Roman"/>
          <w:sz w:val="22"/>
          <w:szCs w:val="22"/>
          <w:u w:val="single" w:color="auto"/>
          <w:color w:val="auto"/>
        </w:rPr>
        <w:t>Sign-On Bonus Payment</w:t>
      </w:r>
      <w:r>
        <w:rPr>
          <w:rFonts w:ascii="Times New Roman" w:cs="Times New Roman" w:eastAsia="Times New Roman" w:hAnsi="Times New Roman"/>
          <w:sz w:val="22"/>
          <w:szCs w:val="22"/>
          <w:color w:val="auto"/>
        </w:rPr>
        <w:t>”), which shall be payable in two installments of $450,000 on April 1, 2027 and April 1, 2028 (each a “</w:t>
      </w:r>
      <w:r>
        <w:rPr>
          <w:rFonts w:ascii="Times New Roman" w:cs="Times New Roman" w:eastAsia="Times New Roman" w:hAnsi="Times New Roman"/>
          <w:sz w:val="22"/>
          <w:szCs w:val="22"/>
          <w:u w:val="single" w:color="auto"/>
          <w:color w:val="auto"/>
        </w:rPr>
        <w:t>Sign-On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 Installment</w:t>
      </w:r>
      <w:r>
        <w:rPr>
          <w:rFonts w:ascii="Times New Roman" w:cs="Times New Roman" w:eastAsia="Times New Roman" w:hAnsi="Times New Roman"/>
          <w:sz w:val="22"/>
          <w:szCs w:val="22"/>
          <w:color w:val="auto"/>
        </w:rPr>
        <w:t>”, and each such date of payment, a “</w:t>
      </w:r>
      <w:r>
        <w:rPr>
          <w:rFonts w:ascii="Times New Roman" w:cs="Times New Roman" w:eastAsia="Times New Roman" w:hAnsi="Times New Roman"/>
          <w:sz w:val="22"/>
          <w:szCs w:val="22"/>
          <w:u w:val="single" w:color="auto"/>
          <w:color w:val="auto"/>
        </w:rPr>
        <w:t>Sign-On Bonus Payment Date</w:t>
      </w:r>
      <w:r>
        <w:rPr>
          <w:rFonts w:ascii="Times New Roman" w:cs="Times New Roman" w:eastAsia="Times New Roman" w:hAnsi="Times New Roman"/>
          <w:sz w:val="22"/>
          <w:szCs w:val="22"/>
          <w:color w:val="auto"/>
        </w:rPr>
        <w:t xml:space="preserve">”) so long as, in each case, Executive is an active employee as of each such applicable Sign-On Bonus Payment Date. If Executive ceases to be an active employee of the Company due to Executive’s employment with the Company Group being terminated by the Company for Cause, or Executive resigns his employment other than for Good Reason, in either case, prior to the two-year anniversary of the Effective Date, Executive shall be required to repay to the Company Group, within thirty (30) days after the date of the termination of Executive’s employment, fifty percent (50%) of the portion of Sign-On Bonus Installments paid to Executive less fifty percent (50%) of the amount of federal income tax or other amounts actually withheld from the Sign-On Bonus Installments by the Company in conjunction with the payment of any Sign-On Bonus Installment to the Executive. In the event Executive does not repay the Company the portion of the Sign-On Bonus Payment in accordance with the preceding provisions of this </w:t>
      </w:r>
      <w:r>
        <w:rPr>
          <w:rFonts w:ascii="Times New Roman" w:cs="Times New Roman" w:eastAsia="Times New Roman" w:hAnsi="Times New Roman"/>
          <w:sz w:val="22"/>
          <w:szCs w:val="22"/>
          <w:u w:val="single" w:color="auto"/>
          <w:color w:val="auto"/>
        </w:rPr>
        <w:t>Section 3(a)(ii)</w:t>
      </w:r>
      <w:r>
        <w:rPr>
          <w:rFonts w:ascii="Times New Roman" w:cs="Times New Roman" w:eastAsia="Times New Roman" w:hAnsi="Times New Roman"/>
          <w:sz w:val="22"/>
          <w:szCs w:val="22"/>
          <w:color w:val="auto"/>
        </w:rPr>
        <w:t xml:space="preserve"> by such repayment deadline, if applicable, then the Company may, in its sole discretion, either (A) offset any other amounts payable to Executive by the Company or any of its affiliates in satisfaction of the required repayment amount or (B) cause Executive to forfeit (or otherwise recoup) any equity interests that Executive holds in respect of the Company or any of its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6" w:name="page7"/>
    <w:bookmarkEnd w:id="6"/>
    <w:p>
      <w:pPr>
        <w:ind w:left="1880"/>
        <w:spacing w:after="0"/>
        <w:rPr>
          <w:sz w:val="20"/>
          <w:szCs w:val="20"/>
          <w:color w:val="auto"/>
        </w:rPr>
      </w:pPr>
      <w:r>
        <w:rPr>
          <w:rFonts w:ascii="Times New Roman" w:cs="Times New Roman" w:eastAsia="Times New Roman" w:hAnsi="Times New Roman"/>
          <w:sz w:val="22"/>
          <w:szCs w:val="22"/>
          <w:color w:val="auto"/>
        </w:rPr>
        <w:t>affiliates in an amount equal to the required repayment amount, in each case subject to applicable law.</w:t>
      </w:r>
    </w:p>
    <w:p>
      <w:pPr>
        <w:spacing w:after="0" w:line="233" w:lineRule="exact"/>
        <w:rPr>
          <w:sz w:val="20"/>
          <w:szCs w:val="20"/>
          <w:color w:val="auto"/>
        </w:rPr>
      </w:pPr>
    </w:p>
    <w:p>
      <w:pPr>
        <w:jc w:val="both"/>
        <w:ind w:left="1880" w:hanging="749"/>
        <w:spacing w:after="0" w:line="244" w:lineRule="auto"/>
        <w:tabs>
          <w:tab w:leader="none" w:pos="18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Sign-On Bonus Payment under clause (ii) above shall not constitute part of Executive’s Base Salary hereunder nor shall it be (A) used to calculate any bonus or Target Bonus hereunder or (B) used to calculate or be included in any amounts otherwise due to Executive upon termination.</w:t>
      </w:r>
    </w:p>
    <w:p>
      <w:pPr>
        <w:spacing w:after="0" w:line="200" w:lineRule="exact"/>
        <w:rPr>
          <w:rFonts w:ascii="Times New Roman" w:cs="Times New Roman" w:eastAsia="Times New Roman" w:hAnsi="Times New Roman"/>
          <w:sz w:val="22"/>
          <w:szCs w:val="22"/>
          <w:color w:val="auto"/>
        </w:rPr>
      </w:pPr>
    </w:p>
    <w:p>
      <w:pPr>
        <w:ind w:left="1140" w:hanging="563"/>
        <w:spacing w:after="0"/>
        <w:tabs>
          <w:tab w:leader="none" w:pos="11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880" w:hanging="749"/>
        <w:spacing w:after="0" w:line="230" w:lineRule="auto"/>
        <w:tabs>
          <w:tab w:leader="none" w:pos="18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Equity Award – Time-Based RSUs</w:t>
      </w:r>
      <w:r>
        <w:rPr>
          <w:rFonts w:ascii="Times New Roman" w:cs="Times New Roman" w:eastAsia="Times New Roman" w:hAnsi="Times New Roman"/>
          <w:sz w:val="22"/>
          <w:szCs w:val="22"/>
          <w:color w:val="auto"/>
        </w:rPr>
        <w:t>. As soon as practicable following the Effective Date, the Company shall grant Executive 400,000 restricted stock units (the “</w:t>
      </w:r>
      <w:r>
        <w:rPr>
          <w:rFonts w:ascii="Times New Roman" w:cs="Times New Roman" w:eastAsia="Times New Roman" w:hAnsi="Times New Roman"/>
          <w:sz w:val="22"/>
          <w:szCs w:val="22"/>
          <w:u w:val="single" w:color="auto"/>
          <w:color w:val="auto"/>
        </w:rPr>
        <w:t>Time-Based RSUs</w:t>
      </w:r>
      <w:r>
        <w:rPr>
          <w:rFonts w:ascii="Times New Roman" w:cs="Times New Roman" w:eastAsia="Times New Roman" w:hAnsi="Times New Roman"/>
          <w:sz w:val="22"/>
          <w:szCs w:val="22"/>
          <w:color w:val="auto"/>
        </w:rPr>
        <w:t>”) with respect to the Company’s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award of Time-Based RSUs shall be awarded pursuant to the Company’s 2021 Stock Plan, and shall be subject to the terms and conditions as apply to awards made under such plan. The Time-Based RSUs will vest: (i) with respect to 200,000 Time-Based RSUs (the “</w:t>
      </w:r>
      <w:r>
        <w:rPr>
          <w:rFonts w:ascii="Times New Roman" w:cs="Times New Roman" w:eastAsia="Times New Roman" w:hAnsi="Times New Roman"/>
          <w:sz w:val="22"/>
          <w:szCs w:val="22"/>
          <w:u w:val="single" w:color="auto"/>
          <w:color w:val="auto"/>
        </w:rPr>
        <w:t>Three-Year Time-Based RSUs</w:t>
      </w:r>
      <w:r>
        <w:rPr>
          <w:rFonts w:ascii="Times New Roman" w:cs="Times New Roman" w:eastAsia="Times New Roman" w:hAnsi="Times New Roman"/>
          <w:sz w:val="22"/>
          <w:szCs w:val="22"/>
          <w:color w:val="auto"/>
        </w:rPr>
        <w:t>”), over a three-year period, with 33.33% of such Three-Year Time-Based RSUs vesting on the one-year anniversary of the grant date, and 1/36 of such Three-Year Time-Based RSUs vesting at the end of each month for the next 24 months following the grant date; and (ii) with respect to 200,000 Time-Based RSUs (the “</w:t>
      </w:r>
      <w:r>
        <w:rPr>
          <w:rFonts w:ascii="Times New Roman" w:cs="Times New Roman" w:eastAsia="Times New Roman" w:hAnsi="Times New Roman"/>
          <w:sz w:val="22"/>
          <w:szCs w:val="22"/>
          <w:u w:val="single" w:color="auto"/>
          <w:color w:val="auto"/>
        </w:rPr>
        <w:t>Four-Year Time-Based RSUs</w:t>
      </w:r>
      <w:r>
        <w:rPr>
          <w:rFonts w:ascii="Times New Roman" w:cs="Times New Roman" w:eastAsia="Times New Roman" w:hAnsi="Times New Roman"/>
          <w:sz w:val="22"/>
          <w:szCs w:val="22"/>
          <w:color w:val="auto"/>
        </w:rPr>
        <w:t>”), over a four-year period, with 25% of such Four-Year Time-Based RSUs vesting on the one-year anniversary of the grant date, and 1/48 of such Four-Year Time-Based RSUs vesting at the end of each month for the next thirty-six months following the grant date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provided, in each case, that Executive is an active employee as of each such relevant vesting date. The Time-Based RSUs shall otherwise be evidenced by and subject to the terms of the applicable Award Agreement, which shall contain terms described herein.</w:t>
      </w:r>
    </w:p>
    <w:p>
      <w:pPr>
        <w:spacing w:after="0" w:line="212" w:lineRule="exact"/>
        <w:rPr>
          <w:sz w:val="20"/>
          <w:szCs w:val="20"/>
          <w:color w:val="auto"/>
        </w:rPr>
      </w:pPr>
    </w:p>
    <w:p>
      <w:pPr>
        <w:jc w:val="both"/>
        <w:ind w:left="1880" w:hanging="739"/>
        <w:spacing w:after="0" w:line="245" w:lineRule="auto"/>
        <w:tabs>
          <w:tab w:leader="none" w:pos="1860" w:val="left"/>
        </w:tabs>
        <w:rPr>
          <w:sz w:val="20"/>
          <w:szCs w:val="20"/>
          <w:color w:val="auto"/>
        </w:rPr>
      </w:pPr>
      <w:r>
        <w:rPr>
          <w:rFonts w:ascii="Times New Roman" w:cs="Times New Roman" w:eastAsia="Times New Roman" w:hAnsi="Times New Roman"/>
          <w:sz w:val="21"/>
          <w:szCs w:val="21"/>
          <w:color w:val="auto"/>
        </w:rPr>
        <w:t>(ii)</w:t>
      </w:r>
      <w:r>
        <w:rPr>
          <w:sz w:val="20"/>
          <w:szCs w:val="20"/>
          <w:color w:val="auto"/>
        </w:rPr>
        <w:tab/>
      </w:r>
      <w:r>
        <w:rPr>
          <w:rFonts w:ascii="Times New Roman" w:cs="Times New Roman" w:eastAsia="Times New Roman" w:hAnsi="Times New Roman"/>
          <w:sz w:val="21"/>
          <w:szCs w:val="21"/>
          <w:u w:val="single" w:color="auto"/>
          <w:color w:val="auto"/>
        </w:rPr>
        <w:t>Employment Equity Award – Share Target RSUs</w:t>
      </w:r>
      <w:r>
        <w:rPr>
          <w:rFonts w:ascii="Times New Roman" w:cs="Times New Roman" w:eastAsia="Times New Roman" w:hAnsi="Times New Roman"/>
          <w:sz w:val="21"/>
          <w:szCs w:val="21"/>
          <w:color w:val="auto"/>
        </w:rPr>
        <w:t>. As soon as practicable following the Effective Date, the Company shall grant Executive 200,000 restricted stock units (the “</w:t>
      </w:r>
      <w:r>
        <w:rPr>
          <w:rFonts w:ascii="Times New Roman" w:cs="Times New Roman" w:eastAsia="Times New Roman" w:hAnsi="Times New Roman"/>
          <w:sz w:val="21"/>
          <w:szCs w:val="21"/>
          <w:u w:val="single" w:color="auto"/>
          <w:color w:val="auto"/>
        </w:rPr>
        <w:t>Share Target RSUs</w:t>
      </w:r>
      <w:r>
        <w:rPr>
          <w:rFonts w:ascii="Times New Roman" w:cs="Times New Roman" w:eastAsia="Times New Roman" w:hAnsi="Times New Roman"/>
          <w:sz w:val="21"/>
          <w:szCs w:val="21"/>
          <w:color w:val="auto"/>
        </w:rPr>
        <w:t xml:space="preserve">”) with respect to the Common Stock. The award of Share Target RSUs shall be awarded pursuant to the Company’s 2021 Stock Plan, and shall be subject to the terms and conditions as apply to awards made under such plan. The Share Target RSUs will vest over a three-year period, subject to the attainment of certain Common Stock share value hurdles as follows: (i) fifty percent (50%) of the Share Target RSUs granted hereunder are allocated to the achievement of a $10 Price Hurdle (as defined below); and (ii) fifty percent (50%) of the Share Target RSU’s granted hereunder are allocated to the achievement of an $20 Price Hurdle; in each case subject to the vesting calculation rules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 “</w:t>
      </w:r>
      <w:r>
        <w:rPr>
          <w:rFonts w:ascii="Times New Roman" w:cs="Times New Roman" w:eastAsia="Times New Roman" w:hAnsi="Times New Roman"/>
          <w:sz w:val="21"/>
          <w:szCs w:val="21"/>
          <w:u w:val="single" w:color="auto"/>
          <w:color w:val="auto"/>
        </w:rPr>
        <w:t>Price Hurdle</w:t>
      </w:r>
      <w:r>
        <w:rPr>
          <w:rFonts w:ascii="Times New Roman" w:cs="Times New Roman" w:eastAsia="Times New Roman" w:hAnsi="Times New Roman"/>
          <w:sz w:val="21"/>
          <w:szCs w:val="21"/>
          <w:color w:val="auto"/>
        </w:rPr>
        <w:t>” will be achieved upon the Company’s publicly traded common stock closing the trading day at or above $10 or $20, as applicable, for at least thirty (30) consecutive trading days during the first, second or third year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16884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 to Company</w:t>
      </w:r>
      <w:r>
        <w:rPr>
          <w:rFonts w:ascii="Times New Roman" w:cs="Times New Roman" w:eastAsia="Times New Roman" w:hAnsi="Times New Roman"/>
          <w:sz w:val="18"/>
          <w:szCs w:val="18"/>
          <w:color w:val="auto"/>
        </w:rPr>
        <w:t>: Please confirm whether vesting should have one-year cliff vesting with monthly vesting thereafter.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jc w:val="both"/>
        <w:ind w:left="1860"/>
        <w:spacing w:after="0" w:line="235" w:lineRule="auto"/>
        <w:rPr>
          <w:sz w:val="20"/>
          <w:szCs w:val="20"/>
          <w:color w:val="auto"/>
        </w:rPr>
      </w:pPr>
      <w:r>
        <w:rPr>
          <w:rFonts w:ascii="Times New Roman" w:cs="Times New Roman" w:eastAsia="Times New Roman" w:hAnsi="Times New Roman"/>
          <w:sz w:val="22"/>
          <w:szCs w:val="22"/>
          <w:color w:val="auto"/>
        </w:rPr>
        <w:t xml:space="preserve">the Effective Date. Share Target RSUs allocated in accordance with the foregoing will vest in accordance with the vesting calculation rules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on the next subsequent anniversary of the grant date during the three year performance period during which a Price Hurdle is achieved (each such anniversary, an “</w:t>
      </w:r>
      <w:r>
        <w:rPr>
          <w:rFonts w:ascii="Times New Roman" w:cs="Times New Roman" w:eastAsia="Times New Roman" w:hAnsi="Times New Roman"/>
          <w:sz w:val="22"/>
          <w:szCs w:val="22"/>
          <w:u w:val="single" w:color="auto"/>
          <w:color w:val="auto"/>
        </w:rPr>
        <w:t>Annual Share Target RSU Vesting Date</w:t>
      </w:r>
      <w:r>
        <w:rPr>
          <w:rFonts w:ascii="Times New Roman" w:cs="Times New Roman" w:eastAsia="Times New Roman" w:hAnsi="Times New Roman"/>
          <w:sz w:val="22"/>
          <w:szCs w:val="22"/>
          <w:color w:val="auto"/>
        </w:rPr>
        <w:t xml:space="preserve">”), provided that Executive remains actively employed by the Company on such Annual Share Target RSU Vesting Date. The Share Target RSUs shall otherwise be evidenced by and subject to the terms of the applicable Award Agreement, which shall contain terms described herein, as well as the vesting calculation rules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10" w:lineRule="exact"/>
        <w:rPr>
          <w:sz w:val="20"/>
          <w:szCs w:val="20"/>
          <w:color w:val="auto"/>
        </w:rPr>
      </w:pPr>
    </w:p>
    <w:p>
      <w:pPr>
        <w:jc w:val="both"/>
        <w:ind w:left="1120" w:hanging="563"/>
        <w:spacing w:after="0" w:line="244" w:lineRule="auto"/>
        <w:tabs>
          <w:tab w:leader="none" w:pos="11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 Term Incentives</w:t>
      </w:r>
      <w:r>
        <w:rPr>
          <w:rFonts w:ascii="Times New Roman" w:cs="Times New Roman" w:eastAsia="Times New Roman" w:hAnsi="Times New Roman"/>
          <w:sz w:val="22"/>
          <w:szCs w:val="22"/>
          <w:color w:val="auto"/>
        </w:rPr>
        <w:t>. Executive shall not be entitled to the grant of any other equity incentive compensation awards during 2026, 2027 and 2028, except as the Board or the Compensation Committee of the Board may in its sole discretion otherwise determine.</w:t>
      </w:r>
    </w:p>
    <w:p>
      <w:pPr>
        <w:spacing w:after="0" w:line="200" w:lineRule="exact"/>
        <w:rPr>
          <w:rFonts w:ascii="Times New Roman" w:cs="Times New Roman" w:eastAsia="Times New Roman" w:hAnsi="Times New Roman"/>
          <w:sz w:val="22"/>
          <w:szCs w:val="22"/>
          <w:color w:val="auto"/>
        </w:rPr>
      </w:pPr>
    </w:p>
    <w:p>
      <w:pPr>
        <w:ind w:left="1120" w:hanging="563"/>
        <w:spacing w:after="0"/>
        <w:tabs>
          <w:tab w:leader="none" w:pos="11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Cash Bonus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860" w:hanging="749"/>
        <w:spacing w:after="0" w:line="235" w:lineRule="auto"/>
        <w:tabs>
          <w:tab w:leader="none" w:pos="186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eligible to participate in the Company’s annual incentive plan for each fiscal year of the Company during the Term with a target amount equal to 100% of the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xml:space="preserve">”), with the potential to receive a maximum of 200% of Executive’s Base Salary upon achievement of certain overperformance goals. The Target Bonus may be increased, but not decreased during the Term. The actual amount of the annual cash bonus, if any, payable to Executive in respect of any fiscal year during the Term may be based on the achievement of performance criteria established by, and it may relate to financial and non-financial metrics as determined by, the Board or the Compensation Committee of the Board, including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5" w:lineRule="exact"/>
        <w:rPr>
          <w:rFonts w:ascii="Times New Roman" w:cs="Times New Roman" w:eastAsia="Times New Roman" w:hAnsi="Times New Roman"/>
          <w:sz w:val="22"/>
          <w:szCs w:val="22"/>
          <w:color w:val="auto"/>
        </w:rPr>
      </w:pPr>
    </w:p>
    <w:p>
      <w:pPr>
        <w:jc w:val="both"/>
        <w:ind w:left="1860" w:hanging="749"/>
        <w:spacing w:after="0" w:line="236" w:lineRule="auto"/>
        <w:tabs>
          <w:tab w:leader="none" w:pos="186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annual cash bonus that becomes payable to Executive under this </w:t>
      </w:r>
      <w:r>
        <w:rPr>
          <w:rFonts w:ascii="Times New Roman" w:cs="Times New Roman" w:eastAsia="Times New Roman" w:hAnsi="Times New Roman"/>
          <w:sz w:val="22"/>
          <w:szCs w:val="22"/>
          <w:u w:val="single" w:color="auto"/>
          <w:color w:val="auto"/>
        </w:rPr>
        <w:t>Section 3(d)</w:t>
      </w:r>
      <w:r>
        <w:rPr>
          <w:rFonts w:ascii="Times New Roman" w:cs="Times New Roman" w:eastAsia="Times New Roman" w:hAnsi="Times New Roman"/>
          <w:sz w:val="22"/>
          <w:szCs w:val="22"/>
          <w:color w:val="auto"/>
        </w:rPr>
        <w:t xml:space="preserve"> shall be paid to Executive, in cash, as soon as practicable following the end of the year of the Company to which it relates; provided, that, except as otherwise provided in </w:t>
      </w:r>
      <w:r>
        <w:rPr>
          <w:rFonts w:ascii="Times New Roman" w:cs="Times New Roman" w:eastAsia="Times New Roman" w:hAnsi="Times New Roman"/>
          <w:sz w:val="22"/>
          <w:szCs w:val="22"/>
          <w:u w:val="single" w:color="auto"/>
          <w:color w:val="auto"/>
        </w:rPr>
        <w:t>Section 5(a)(ii)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herein, Executive is an active employee of the Company Group as of the date on which such payment is due to be made and Executive has not given notice of termination or resignation of employment as of the date on which such payment is to be made.</w:t>
      </w:r>
    </w:p>
    <w:p>
      <w:pPr>
        <w:spacing w:after="0" w:line="208" w:lineRule="exact"/>
        <w:rPr>
          <w:rFonts w:ascii="Times New Roman" w:cs="Times New Roman" w:eastAsia="Times New Roman" w:hAnsi="Times New Roman"/>
          <w:sz w:val="22"/>
          <w:szCs w:val="22"/>
          <w:color w:val="auto"/>
        </w:rPr>
      </w:pPr>
    </w:p>
    <w:p>
      <w:pPr>
        <w:ind w:left="560" w:hanging="557"/>
        <w:spacing w:after="0"/>
        <w:tabs>
          <w:tab w:leader="none" w:pos="5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120" w:hanging="563"/>
        <w:spacing w:after="0" w:line="239" w:lineRule="auto"/>
        <w:tabs>
          <w:tab w:leader="none" w:pos="112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 and Perquisites</w:t>
      </w:r>
      <w:r>
        <w:rPr>
          <w:rFonts w:ascii="Times New Roman" w:cs="Times New Roman" w:eastAsia="Times New Roman" w:hAnsi="Times New Roman"/>
          <w:sz w:val="22"/>
          <w:szCs w:val="22"/>
          <w:color w:val="auto"/>
        </w:rPr>
        <w:t>. During the Term, Executive shall be eligible to participate in all benefit plans made available by the Company Group to its executives generally. Such benefits shall be subject to the applicable limitations and requirements imposed by the terms of such benefit plans and shall be governed in all respects in accordance with the terms of such plans as in effect from time to time. Nothing in this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8" w:name="page9"/>
    <w:bookmarkEnd w:id="8"/>
    <w:p>
      <w:pPr>
        <w:ind w:left="1120"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however, shall require the Company or any member of the Company Group to maintain any benefit plan or provide any type or level of benefits to its current or former employees, including Executive.</w:t>
      </w:r>
    </w:p>
    <w:p>
      <w:pPr>
        <w:spacing w:after="0" w:line="185" w:lineRule="exact"/>
        <w:rPr>
          <w:sz w:val="20"/>
          <w:szCs w:val="20"/>
          <w:color w:val="auto"/>
        </w:rPr>
      </w:pPr>
    </w:p>
    <w:p>
      <w:pPr>
        <w:ind w:left="1120" w:hanging="563"/>
        <w:spacing w:after="0" w:line="258" w:lineRule="auto"/>
        <w:tabs>
          <w:tab w:leader="none" w:pos="112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Vacation</w:t>
      </w:r>
      <w:r>
        <w:rPr>
          <w:rFonts w:ascii="Times New Roman" w:cs="Times New Roman" w:eastAsia="Times New Roman" w:hAnsi="Times New Roman"/>
          <w:sz w:val="22"/>
          <w:szCs w:val="22"/>
          <w:color w:val="auto"/>
        </w:rPr>
        <w:t>. During the Term, Executive shall be entitled to paid vacation in accordance with the terms and conditions of the Company’s vacation policies as in effect from time to time.</w:t>
      </w:r>
    </w:p>
    <w:p>
      <w:pPr>
        <w:spacing w:after="0" w:line="185" w:lineRule="exact"/>
        <w:rPr>
          <w:rFonts w:ascii="Times New Roman" w:cs="Times New Roman" w:eastAsia="Times New Roman" w:hAnsi="Times New Roman"/>
          <w:sz w:val="22"/>
          <w:szCs w:val="22"/>
          <w:color w:val="auto"/>
        </w:rPr>
      </w:pPr>
    </w:p>
    <w:p>
      <w:pPr>
        <w:jc w:val="both"/>
        <w:ind w:left="1120" w:hanging="563"/>
        <w:spacing w:after="0" w:line="239" w:lineRule="auto"/>
        <w:tabs>
          <w:tab w:leader="none" w:pos="112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The Company Group shall reimburse Executive for any expenses reasonably and necessarily incurred by Executive during the Term in furtherance of Executive’s duties hereunder, including travel, meals and accommodations, upon submission by Executive of vouchers or receipts and in compliance with such rules and policies relating thereto as the Company may from time to time adopt.</w:t>
      </w:r>
    </w:p>
    <w:p>
      <w:pPr>
        <w:spacing w:after="0" w:line="207" w:lineRule="exact"/>
        <w:rPr>
          <w:rFonts w:ascii="Times New Roman" w:cs="Times New Roman" w:eastAsia="Times New Roman" w:hAnsi="Times New Roman"/>
          <w:sz w:val="22"/>
          <w:szCs w:val="22"/>
          <w:color w:val="auto"/>
        </w:rPr>
      </w:pPr>
    </w:p>
    <w:p>
      <w:pPr>
        <w:jc w:val="both"/>
        <w:ind w:left="560" w:hanging="557"/>
        <w:spacing w:after="0" w:line="234" w:lineRule="auto"/>
        <w:tabs>
          <w:tab w:leader="none" w:pos="5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Executive’s employment shall be terminated at the earliest to occur of the following during the Term: (i) the date on which the Company Group provides notice to Executive of termination for “Disability” (as defined below); (ii) the date of Executive’s death; (iii) the date on which the Company Group provides notice to Executive of termination for “Cause” (as defined below); (iv) the date which is 30 days following the date on which the Company Group provides notice to Executive of termination without Cause (or, in the sole discretion of the Company, on a date within the 30-day notice period with base pay in lieu of the foregone notice of termination); (v) the date which is 30 days following the date on which Executive provides notice to the Company of termination of employment by Executive other than for “Good Reason” (as defined below); or (vi) the applicable date set forth in the definition of Good Reason if such termination is by Executive for Good Reason. For purposes of this Agreement, the last day of Executive’s employment with the Company for any reason shall be referred to herein as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120" w:hanging="563"/>
        <w:spacing w:after="0" w:line="245" w:lineRule="auto"/>
        <w:tabs>
          <w:tab w:leader="none" w:pos="112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 Cause; Resignation by Executive Other than for Good Reason; Death or Disability</w:t>
      </w:r>
      <w:r>
        <w:rPr>
          <w:rFonts w:ascii="Times New Roman" w:cs="Times New Roman" w:eastAsia="Times New Roman" w:hAnsi="Times New Roman"/>
          <w:sz w:val="21"/>
          <w:szCs w:val="21"/>
          <w:color w:val="auto"/>
        </w:rPr>
        <w:t xml:space="preserve">. If Executive’s employment with the Company Group is terminated by the Company for Cause or as a result of Executive’s death or Disability, or Executive resigns his employment other than for Good Reason, Executive shall not be entitled to any further compensation or benefits other than, in each case if applicable as of the Date of Termination: (i) any accrued but unpaid Base Salary (payable as provided in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hereof); (ii) if the Executive’s employment with the Company Group is terminated as a result of Executive’s death or Disability, any unpaid annual cash bonus for the immediately preceding (completed) fiscal year, as determined and payable at the same time as other senior officers of the Company; (iii) reimbursement for any expenses properly incurred and reported by Executive prior to the Date of Termination in accordance with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hereof, payable on the Company Group’s first regularly scheduled payroll date which occurs at least 10 business days after the Date of Termination; and (iv) vested employee benefits, if any, to which Executive may be entitled under the Company Group’s employee benefit plans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as of the Date of Termination (collectively, the “</w:t>
      </w:r>
      <w:r>
        <w:rPr>
          <w:rFonts w:ascii="Times New Roman" w:cs="Times New Roman" w:eastAsia="Times New Roman" w:hAnsi="Times New Roman"/>
          <w:sz w:val="21"/>
          <w:szCs w:val="21"/>
          <w:u w:val="single" w:color="auto"/>
          <w:color w:val="auto"/>
        </w:rPr>
        <w:t>Accrued Rights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9" w:name="page10"/>
    <w:bookmarkEnd w:id="9"/>
    <w:p>
      <w:pPr>
        <w:jc w:val="both"/>
        <w:ind w:left="563" w:hanging="563"/>
        <w:spacing w:after="0" w:line="235" w:lineRule="auto"/>
        <w:tabs>
          <w:tab w:leader="none" w:pos="56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Resignation for Good Reason</w:t>
      </w:r>
      <w:r>
        <w:rPr>
          <w:rFonts w:ascii="Times New Roman" w:cs="Times New Roman" w:eastAsia="Times New Roman" w:hAnsi="Times New Roman"/>
          <w:sz w:val="22"/>
          <w:szCs w:val="22"/>
          <w:color w:val="auto"/>
        </w:rPr>
        <w:t xml:space="preserve">. If Executive’s employment is terminated by the Company Group without Cause or Executive terminates his employment for Good Reason, then Executive shall be entitled to receive the Accrued Rights, and if (x) Executive executes a release of claims substantially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subject to any revisions deemed by the Company to be necessary to reflect changes in applicable law occurring after the date hereof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and the applicable revocation period with respect to the Release expires within 60 days (or such longer period as required by law) following the Date of Termination and (y) Executive does not breach in any material respect the restrictive covenants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then Executive shall receive the following:</w:t>
      </w:r>
    </w:p>
    <w:p>
      <w:pPr>
        <w:spacing w:after="0" w:line="205" w:lineRule="exact"/>
        <w:rPr>
          <w:rFonts w:ascii="Times New Roman" w:cs="Times New Roman" w:eastAsia="Times New Roman" w:hAnsi="Times New Roman"/>
          <w:sz w:val="22"/>
          <w:szCs w:val="22"/>
          <w:color w:val="auto"/>
        </w:rPr>
      </w:pPr>
    </w:p>
    <w:p>
      <w:pPr>
        <w:jc w:val="both"/>
        <w:ind w:left="1303" w:hanging="749"/>
        <w:spacing w:after="0" w:line="234" w:lineRule="auto"/>
        <w:tabs>
          <w:tab w:leader="none" w:pos="130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in cash equal to 1.5 times the Base Salary as in effect immediately prior to the Date of Termination (without regard to any reduction resulting in Good Reason), which amount shall be payable in substantially equal installments during the 18 month period immediately following the Date of Termination in accordance with the Company Group’s regular payroll practices as in effect from time to time; provided, that, the first such payment shall be made on the first regularly scheduled payroll date of the Company Group that occurs on or following the 60th day after the Date of Termination (the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and shall include all payments that would have been made to Executive had such payments commenced on the first regularly scheduled payroll date of the Company Group following the Date of Termination;</w:t>
      </w:r>
    </w:p>
    <w:p>
      <w:pPr>
        <w:spacing w:after="0" w:line="210" w:lineRule="exact"/>
        <w:rPr>
          <w:rFonts w:ascii="Times New Roman" w:cs="Times New Roman" w:eastAsia="Times New Roman" w:hAnsi="Times New Roman"/>
          <w:sz w:val="22"/>
          <w:szCs w:val="22"/>
          <w:color w:val="auto"/>
        </w:rPr>
      </w:pPr>
    </w:p>
    <w:p>
      <w:pPr>
        <w:jc w:val="both"/>
        <w:ind w:left="1303" w:hanging="749"/>
        <w:spacing w:after="0" w:line="238" w:lineRule="auto"/>
        <w:tabs>
          <w:tab w:leader="none" w:pos="130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Time-Based RSUs held by Executive shall become vested in full (and the Company shall be required to thereafter settle such restricted stock units in common stock provided that, to the extent that the restricted stock unit award is subject to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restricted stock units shall be settled at the time and in the form required by the restricted stock unit award agreement).</w:t>
      </w:r>
    </w:p>
    <w:p>
      <w:pPr>
        <w:spacing w:after="0" w:line="203" w:lineRule="exact"/>
        <w:rPr>
          <w:rFonts w:ascii="Times New Roman" w:cs="Times New Roman" w:eastAsia="Times New Roman" w:hAnsi="Times New Roman"/>
          <w:sz w:val="22"/>
          <w:szCs w:val="22"/>
          <w:color w:val="auto"/>
        </w:rPr>
      </w:pPr>
    </w:p>
    <w:p>
      <w:pPr>
        <w:jc w:val="both"/>
        <w:ind w:left="1303" w:hanging="749"/>
        <w:spacing w:after="0" w:line="238" w:lineRule="auto"/>
        <w:tabs>
          <w:tab w:leader="none" w:pos="130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cash bonus for the immediately preceding (completed) fiscal year as determined and payable at the same time as other senior officers of the Company for such year, and a pro rata annual cash bonus for the year in which the Date of Termination occurs for days worked through the Date of Termination, based on actual Company financial performance, payable at the same time as annual cash bonuses are paid to senior officers of the Company for such year;</w:t>
      </w:r>
    </w:p>
    <w:p>
      <w:pPr>
        <w:spacing w:after="0" w:line="221" w:lineRule="exact"/>
        <w:rPr>
          <w:rFonts w:ascii="Times New Roman" w:cs="Times New Roman" w:eastAsia="Times New Roman" w:hAnsi="Times New Roman"/>
          <w:sz w:val="22"/>
          <w:szCs w:val="22"/>
          <w:color w:val="auto"/>
        </w:rPr>
      </w:pPr>
    </w:p>
    <w:p>
      <w:pPr>
        <w:jc w:val="both"/>
        <w:ind w:left="1303" w:hanging="749"/>
        <w:spacing w:after="0" w:line="227" w:lineRule="auto"/>
        <w:tabs>
          <w:tab w:leader="none" w:pos="130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1/365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Sign-On Bonus Installment next payable following the Date of Termination multiplied by the number of days Executive was employed by the Company Group since the Sign-On Bonus Payment Date immediately preceding the Date of Termination (e.g., for example purposes only, if the Date of Termination is March 1, 2029, then the immediately preceding Sign-On Bonus Payment Date would be September 1, 2028, and</w:t>
      </w:r>
    </w:p>
    <w:p>
      <w:pPr>
        <w:spacing w:after="0" w:line="219" w:lineRule="exact"/>
        <w:rPr>
          <w:sz w:val="20"/>
          <w:szCs w:val="20"/>
          <w:color w:val="auto"/>
        </w:rPr>
      </w:pPr>
    </w:p>
    <w:p>
      <w:pPr>
        <w:ind w:left="500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572770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08" w:right="339" w:bottom="1440" w:gutter="0" w:footer="0" w:header="0"/>
        </w:sectPr>
      </w:pPr>
    </w:p>
    <w:bookmarkStart w:id="10" w:name="page11"/>
    <w:bookmarkEnd w:id="10"/>
    <w:p>
      <w:pPr>
        <w:jc w:val="both"/>
        <w:ind w:left="1303"/>
        <w:spacing w:after="0" w:line="226" w:lineRule="auto"/>
        <w:rPr>
          <w:sz w:val="20"/>
          <w:szCs w:val="20"/>
          <w:color w:val="auto"/>
        </w:rPr>
      </w:pPr>
      <w:r>
        <w:rPr>
          <w:rFonts w:ascii="Times New Roman" w:cs="Times New Roman" w:eastAsia="Times New Roman" w:hAnsi="Times New Roman"/>
          <w:sz w:val="22"/>
          <w:szCs w:val="22"/>
          <w:color w:val="auto"/>
        </w:rPr>
        <w:t>Executive would be entitled under this clause (iv) to 181/365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Sign-On Bonus Installment that would have been payable on September 1, 2029 and Executive would not be entitled to any further Sign-On Bonus Installments that would have been payable on September 1, 2029), payable on the Payment Commencement Date; and</w:t>
      </w:r>
    </w:p>
    <w:p>
      <w:pPr>
        <w:spacing w:after="0" w:line="207" w:lineRule="exact"/>
        <w:rPr>
          <w:sz w:val="20"/>
          <w:szCs w:val="20"/>
          <w:color w:val="auto"/>
        </w:rPr>
      </w:pPr>
    </w:p>
    <w:p>
      <w:pPr>
        <w:jc w:val="both"/>
        <w:ind w:left="1303" w:hanging="749"/>
        <w:spacing w:after="0" w:line="239" w:lineRule="auto"/>
        <w:tabs>
          <w:tab w:leader="none" w:pos="130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health insurance coverage, COBRA benefits (to the extent elected by the Executive) and a lump sum payment equal to the cost of COBRA benefits for Executive, his spouse and eligible dependents for a period of 18 months following the Date of Termination, payable on the Payment Commencement Date. Executive acknowledges that such payments shall be taxable to him.</w:t>
      </w:r>
    </w:p>
    <w:p>
      <w:pPr>
        <w:spacing w:after="0" w:line="207" w:lineRule="exact"/>
        <w:rPr>
          <w:rFonts w:ascii="Times New Roman" w:cs="Times New Roman" w:eastAsia="Times New Roman" w:hAnsi="Times New Roman"/>
          <w:sz w:val="22"/>
          <w:szCs w:val="22"/>
          <w:color w:val="auto"/>
        </w:rPr>
      </w:pPr>
    </w:p>
    <w:p>
      <w:pPr>
        <w:jc w:val="both"/>
        <w:ind w:left="563" w:hanging="563"/>
        <w:spacing w:after="0" w:line="235" w:lineRule="auto"/>
        <w:tabs>
          <w:tab w:leader="none" w:pos="56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Resignation for Good Reason on or Following a Change in Control</w:t>
      </w:r>
      <w:r>
        <w:rPr>
          <w:rFonts w:ascii="Times New Roman" w:cs="Times New Roman" w:eastAsia="Times New Roman" w:hAnsi="Times New Roman"/>
          <w:sz w:val="22"/>
          <w:szCs w:val="22"/>
          <w:color w:val="auto"/>
        </w:rPr>
        <w:t xml:space="preserve">. If, on or within 12 months following a Change in Control, Executive’s employment is terminated by the Company Group without Cause or Executive resigns his employment for Good Reason, then Executive shall be entitled to receive the Accrued Rights, and if (x) Executive executes the Release and the applicable revocation period with respect to the Release expires within 60 days (or such longer period as required by law) following the Date of Termination and (y) Executive does not breach in any material respect the restrictive covenants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then Executive shall receive the following:</w:t>
      </w:r>
    </w:p>
    <w:p>
      <w:pPr>
        <w:spacing w:after="0" w:line="210" w:lineRule="exact"/>
        <w:rPr>
          <w:rFonts w:ascii="Times New Roman" w:cs="Times New Roman" w:eastAsia="Times New Roman" w:hAnsi="Times New Roman"/>
          <w:sz w:val="22"/>
          <w:szCs w:val="22"/>
          <w:color w:val="auto"/>
        </w:rPr>
      </w:pPr>
    </w:p>
    <w:p>
      <w:pPr>
        <w:jc w:val="both"/>
        <w:ind w:left="1303" w:hanging="749"/>
        <w:spacing w:after="0" w:line="238" w:lineRule="auto"/>
        <w:tabs>
          <w:tab w:leader="none" w:pos="130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in cash equal to two (2) times the sum of (A) the Base Salary as in effect immediately prior to the Date of Termination (without regard to any reduction resulting in Good Reason) and (B) the Target Bonus (without regard to any reduction resulting in Good Reason), which amount shall be payable in a lump sum on the first regularly scheduled payroll date of the Company Group that occurs on or following the Payment Commencement Date;</w:t>
      </w:r>
    </w:p>
    <w:p>
      <w:pPr>
        <w:spacing w:after="0" w:line="204" w:lineRule="exact"/>
        <w:rPr>
          <w:sz w:val="20"/>
          <w:szCs w:val="20"/>
          <w:color w:val="auto"/>
        </w:rPr>
      </w:pPr>
    </w:p>
    <w:p>
      <w:pPr>
        <w:jc w:val="both"/>
        <w:ind w:left="1303" w:hanging="749"/>
        <w:spacing w:after="0" w:line="238" w:lineRule="auto"/>
        <w:tabs>
          <w:tab w:leader="none" w:pos="130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cash bonus for the immediately preceding (completed) fiscal year as determined and payable at the same time as other senior officers of the Company, and a pro rata annual cash bonus for the year in which the Date of Termination occurs for days worked through the Date of Termination, based on actual Company financial performance, payable in each case at the same time as annual cash bonuses are paid to senior officers of the Company for such years;</w:t>
      </w:r>
    </w:p>
    <w:p>
      <w:pPr>
        <w:spacing w:after="0" w:line="203" w:lineRule="exact"/>
        <w:rPr>
          <w:rFonts w:ascii="Times New Roman" w:cs="Times New Roman" w:eastAsia="Times New Roman" w:hAnsi="Times New Roman"/>
          <w:sz w:val="22"/>
          <w:szCs w:val="22"/>
          <w:color w:val="auto"/>
        </w:rPr>
      </w:pPr>
    </w:p>
    <w:p>
      <w:pPr>
        <w:jc w:val="both"/>
        <w:ind w:left="1303" w:hanging="749"/>
        <w:spacing w:after="0" w:line="239" w:lineRule="auto"/>
        <w:tabs>
          <w:tab w:leader="none" w:pos="130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health insurance coverage, COBRA benefits (to the extent elected by Executive) and a lump sum payment equal to the cost of COBRA benefits for Executive and his spouse and eligible dependents for a period of 18 months following the Date of Termination, payable on the Payment Commencement Date. Executive acknowledges that such payments shall be taxable to him; and</w:t>
      </w:r>
    </w:p>
    <w:p>
      <w:pPr>
        <w:spacing w:after="0" w:line="200" w:lineRule="exact"/>
        <w:rPr>
          <w:sz w:val="20"/>
          <w:szCs w:val="20"/>
          <w:color w:val="auto"/>
        </w:rPr>
      </w:pPr>
    </w:p>
    <w:p>
      <w:pPr>
        <w:spacing w:after="0" w:line="237" w:lineRule="exact"/>
        <w:rPr>
          <w:sz w:val="20"/>
          <w:szCs w:val="20"/>
          <w:color w:val="auto"/>
        </w:rPr>
      </w:pPr>
    </w:p>
    <w:p>
      <w:pPr>
        <w:ind w:left="500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572770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26" w:right="339" w:bottom="1440" w:gutter="0" w:footer="0" w:header="0"/>
        </w:sectPr>
      </w:pPr>
    </w:p>
    <w:bookmarkStart w:id="11" w:name="page12"/>
    <w:bookmarkEnd w:id="11"/>
    <w:p>
      <w:pPr>
        <w:jc w:val="both"/>
        <w:ind w:left="1303" w:hanging="749"/>
        <w:spacing w:after="0" w:line="244" w:lineRule="auto"/>
        <w:tabs>
          <w:tab w:leader="none" w:pos="1303"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 option awards held by Executive shall become vested and exercisable in full, and (A) any restricted stock units with a time based vest held by Executive shall become vested in full (including for the avoidance of doubt, the Time-Based RSUs) and (B) any performance stock units (including for the avoidance of doubt, the Share Target RSUs) shall become vested in the full amount associated with a given performance condition that has been satisfied upon such Change in Control or within 12 months thereafter including, in the case of the Share Target RSUs, the share price of the Company that is achieved in connection with the valuation determined as part of such Change in Control, and the Company shall be required to thereafter settle such restricted stock units or performance stock units in common stock (provided that, to the extent that the restricted stock unit award is subject to Section 409A of the Code, such restricted stock units or performance stock units shall be settled at the time and in the form required by the restricted stock unit award agreement), and any other applicable restrictions with respect to any stock-based awards held by Executive shall lapse in full, and, in the case of stock options, any such stock options (together with any stock options that have vested and become exercisable prior to the Date of Termination) shall remain exercisable for a period of 90 days following the Date of Termination. The provisions of this clause (iv) shall apply in respect of any stock options, restricted stock units or other stock-based award of Executive, whether issued pursuant to a stock incentive plan of the Company or otherwise.</w:t>
      </w:r>
    </w:p>
    <w:p>
      <w:pPr>
        <w:spacing w:after="0" w:line="202" w:lineRule="exact"/>
        <w:rPr>
          <w:rFonts w:ascii="Times New Roman" w:cs="Times New Roman" w:eastAsia="Times New Roman" w:hAnsi="Times New Roman"/>
          <w:sz w:val="21"/>
          <w:szCs w:val="21"/>
          <w:color w:val="auto"/>
        </w:rPr>
      </w:pPr>
    </w:p>
    <w:p>
      <w:pPr>
        <w:ind w:left="563" w:hanging="563"/>
        <w:spacing w:after="0"/>
        <w:tabs>
          <w:tab w:leader="none" w:pos="56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w:t>
      </w:r>
    </w:p>
    <w:p>
      <w:pPr>
        <w:spacing w:after="0" w:line="233" w:lineRule="exact"/>
        <w:rPr>
          <w:rFonts w:ascii="Times New Roman" w:cs="Times New Roman" w:eastAsia="Times New Roman" w:hAnsi="Times New Roman"/>
          <w:sz w:val="22"/>
          <w:szCs w:val="22"/>
          <w:color w:val="auto"/>
        </w:rPr>
      </w:pPr>
    </w:p>
    <w:p>
      <w:pPr>
        <w:jc w:val="both"/>
        <w:ind w:left="1303" w:hanging="749"/>
        <w:spacing w:after="0" w:line="235" w:lineRule="auto"/>
        <w:tabs>
          <w:tab w:leader="none" w:pos="130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as applied to any Person, means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(the ownership of more than 50% of the voting securities of an entity shall for purposes of this definition be deemed to be “control”), by contract or otherwise.</w:t>
      </w:r>
    </w:p>
    <w:p>
      <w:pPr>
        <w:spacing w:after="0" w:line="210" w:lineRule="exact"/>
        <w:rPr>
          <w:rFonts w:ascii="Times New Roman" w:cs="Times New Roman" w:eastAsia="Times New Roman" w:hAnsi="Times New Roman"/>
          <w:sz w:val="22"/>
          <w:szCs w:val="22"/>
          <w:color w:val="auto"/>
        </w:rPr>
      </w:pPr>
    </w:p>
    <w:p>
      <w:pPr>
        <w:jc w:val="both"/>
        <w:ind w:left="1303" w:hanging="749"/>
        <w:spacing w:after="0" w:line="247" w:lineRule="auto"/>
        <w:tabs>
          <w:tab w:leader="none" w:pos="1303"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(in each case, other than due to death or Disability): (A) Executive’s conviction of, or plea of guilty or nolo contendere to, any felony or crime involving fraud, misrepresentation or moral turpitude (excluding misdemeanor traffic offenses but including felony traffic offenses involving the use of alcohol or illegal substances); (B) any act of theft, dishonesty, embezzlement or misappropriation by Executive against the Company or any of its Affiliates that has or could reasonably be expected to result in economic harm to any member of the Company Group; (C) Executive’s willful or material breach of a fiduciary obligation or any willful malfeasance or gross negligence; (D) a violation by Executive of any written policy of the Company that has or could reasonably be expected to result in material harm to member of the</w:t>
      </w:r>
    </w:p>
    <w:p>
      <w:pPr>
        <w:spacing w:after="0" w:line="212" w:lineRule="exact"/>
        <w:rPr>
          <w:sz w:val="20"/>
          <w:szCs w:val="20"/>
          <w:color w:val="auto"/>
        </w:rPr>
      </w:pPr>
    </w:p>
    <w:p>
      <w:pPr>
        <w:ind w:left="500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572770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08" w:right="339" w:bottom="1440" w:gutter="0" w:footer="0" w:header="0"/>
        </w:sectPr>
      </w:pPr>
    </w:p>
    <w:bookmarkStart w:id="12" w:name="page13"/>
    <w:bookmarkEnd w:id="12"/>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 xml:space="preserve">Company Group; (E) a material breach by Executive of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Agreement or of any other noncompetition, non-solicitation, confidentiality or similar agreement between Executive and the Company or any of its Affiliates; (F) any willful failure by Executive to follow the reasonable and lawful written directives of the Board that are related to Executive’s position with the Company; or (G) Executive’s material violation of the Company Group’s code of conduct, employee handbook or similar written policies, including, without limitation, the Company Group’s sexual harassment policy and policies or rules relating to other types of harassment or abusive conduct. The Company may not terminate Executive for Cause under clauses (D), (E), (F) or (G), as applicable, of this definition unless the Company has provided notice to the Executive, in writing, of Executive’s alleged breach of such clauses (D), (E), (F) or (G), as applicable, which notice shall indicate the reason and facts related to a termination for Cause pursuant to clauses (D), (E), (F) of (G) above, as applicable. Following the delivery of such notice, Executive shall have thirty (30) days to cure the circumstances giving rise to the Company’s ability to terminate Executive for Cause pursuant to clauses (D), (E), (F) or (G), as applicable, of this definition after which the Company may terminate the Executive for Cause if he fails to cure such circumstances; provided, however, the foregoing thirty- (30-) day cure period shall not apply in the case of Executive’s violation of the Company Group’s sexual harassment policy and policies or rules relating to other types of harassment or abusive conduct, and Executive’s violation of the Company Group’s sexual harassment policy and policies or rules relating to other types of harassment or abusive conduct shall constitute Cause under clause (G) above. For the avoidance of doubt, a failure of the Company to attain any applicable performance goals or financial metrics shall not, in and of itself, constitute Cause. Notwithstanding the foregoing, in no event will the occurrence of any such condition constitute Cause unless the Company provides notice to Executive of the existence of the condition giving rise to Cause within 120 days following the Company’s knowledge of its existence.</w:t>
      </w:r>
    </w:p>
    <w:p>
      <w:pPr>
        <w:spacing w:after="0" w:line="207" w:lineRule="exact"/>
        <w:rPr>
          <w:sz w:val="20"/>
          <w:szCs w:val="20"/>
          <w:color w:val="auto"/>
        </w:rPr>
      </w:pPr>
    </w:p>
    <w:p>
      <w:pPr>
        <w:ind w:left="760" w:hanging="749"/>
        <w:spacing w:after="0" w:line="258" w:lineRule="auto"/>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has the meaning set forth in the Company’s 2021 Stock Plan, as amended from time to time, or any successor plan thereto.</w:t>
      </w:r>
    </w:p>
    <w:p>
      <w:pPr>
        <w:spacing w:after="0" w:line="185" w:lineRule="exact"/>
        <w:rPr>
          <w:rFonts w:ascii="Times New Roman" w:cs="Times New Roman" w:eastAsia="Times New Roman" w:hAnsi="Times New Roman"/>
          <w:sz w:val="22"/>
          <w:szCs w:val="22"/>
          <w:color w:val="auto"/>
        </w:rPr>
      </w:pPr>
    </w:p>
    <w:p>
      <w:pPr>
        <w:jc w:val="both"/>
        <w:ind w:left="760" w:hanging="749"/>
        <w:spacing w:after="0" w:line="244" w:lineRule="auto"/>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Executive is unable, due to physical or mental incapacity, to perform his duties to the Company under this Agreement for a period of either (A) 90 consecutive days or (B) 180 days in any 365-day period.</w:t>
      </w:r>
    </w:p>
    <w:p>
      <w:pPr>
        <w:spacing w:after="0" w:line="200" w:lineRule="exact"/>
        <w:rPr>
          <w:rFonts w:ascii="Times New Roman" w:cs="Times New Roman" w:eastAsia="Times New Roman" w:hAnsi="Times New Roman"/>
          <w:sz w:val="22"/>
          <w:szCs w:val="22"/>
          <w:color w:val="auto"/>
        </w:rPr>
      </w:pPr>
    </w:p>
    <w:p>
      <w:pPr>
        <w:jc w:val="both"/>
        <w:ind w:left="760" w:hanging="749"/>
        <w:spacing w:after="0" w:line="236" w:lineRule="auto"/>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in each case without Executive’s written consent, (A) a material diminution in Executive’s Base Salary or Target Bonus opportunity; (B) a material diminution or material adverse change in Executive’s title, authority, duties, responsibilities or role (and following a Change in Control, the assignment of duties or responsibilities that are materially inconsistent with those in effect immediately prior to the Change in Control; including, without limitation, if the Executive was, immediately prior to the Change in Control, an</w:t>
      </w: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3" w:name="page14"/>
    <w:bookmarkEnd w:id="13"/>
    <w:p>
      <w:pPr>
        <w:jc w:val="both"/>
        <w:ind w:left="1860"/>
        <w:spacing w:after="0" w:line="232" w:lineRule="auto"/>
        <w:rPr>
          <w:sz w:val="20"/>
          <w:szCs w:val="20"/>
          <w:color w:val="auto"/>
        </w:rPr>
      </w:pPr>
      <w:r>
        <w:rPr>
          <w:rFonts w:ascii="Times New Roman" w:cs="Times New Roman" w:eastAsia="Times New Roman" w:hAnsi="Times New Roman"/>
          <w:sz w:val="22"/>
          <w:szCs w:val="22"/>
          <w:color w:val="auto"/>
        </w:rPr>
        <w:t>executive officer of a public company, any such change in duties or responsibilities attributable to the Executive ceasing to be an executive officer of a public company) or an adverse change in Executive’s title or role; (C) any relocation of Executive’s primary office location that increases Executive’s one-way commute by fifty (50) miles or more, and, following a Change in Control, any required travel on the Company’s business to an extent substantially inconsistent with the Executive’s business travel obligations immediately prior to a Change in Control; (D) in connection with a Change in Control, the failure of the Company to obtain an express assumption and agreement by a successor of the Company to perform this Agreement in the same manner and to the same extent that the Company would be required to perform it if no such succession had taken place; or (E) a material breach of this Agreement by the Company or the Company’s failure to pay any amounts actually earned and payable to Executive under any other written agreement or written plan between the Company and Executive and relating to Executive’s employment with or compensation by the Company Group. Notwithstanding the foregoing, in no event will the occurrence of any such condition constitute Good Reason unless (1) Executive provides notice to the Company of the existence of the condition giving rise to Good Reason within 60 days following Executive’s knowledge of its existence and (2) the Company fails to cure such condition within 30 days following the date of such notice, upon which failure to cure Executive’s employment will immediately terminate with Good Reason.</w:t>
      </w:r>
    </w:p>
    <w:p>
      <w:pPr>
        <w:spacing w:after="0" w:line="217" w:lineRule="exact"/>
        <w:rPr>
          <w:sz w:val="20"/>
          <w:szCs w:val="20"/>
          <w:color w:val="auto"/>
        </w:rPr>
      </w:pPr>
    </w:p>
    <w:p>
      <w:pPr>
        <w:jc w:val="both"/>
        <w:ind w:left="1860" w:right="20" w:hanging="749"/>
        <w:spacing w:after="0" w:line="244" w:lineRule="auto"/>
        <w:tabs>
          <w:tab w:leader="none" w:pos="186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limited liability company, joint venture, association, trust or other entity or organization, including a government or political subdivision or an agency or instrumentality thereof.</w:t>
      </w:r>
    </w:p>
    <w:p>
      <w:pPr>
        <w:spacing w:after="0" w:line="200" w:lineRule="exact"/>
        <w:rPr>
          <w:rFonts w:ascii="Times New Roman" w:cs="Times New Roman" w:eastAsia="Times New Roman" w:hAnsi="Times New Roman"/>
          <w:sz w:val="22"/>
          <w:szCs w:val="22"/>
          <w:color w:val="auto"/>
        </w:rPr>
      </w:pPr>
    </w:p>
    <w:p>
      <w:pPr>
        <w:ind w:left="560" w:hanging="557"/>
        <w:spacing w:after="0"/>
        <w:tabs>
          <w:tab w:leader="none" w:pos="5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120" w:hanging="563"/>
        <w:spacing w:after="0" w:line="233" w:lineRule="auto"/>
        <w:tabs>
          <w:tab w:leader="none" w:pos="11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xml:space="preserve">. Executive agrees and acknowledges that, in the course of Executive’s employment, Executive shall acquire access to and become acquainted with Confidential Information (as defined below). Executive acknowledges that the Company is engaged throughout the world in a highly competitive business and the success of the Company in the marketplace depends upon its goodwill and reputation, and that Executive has developed and shall continue to develop such goodwill and reputation through substantial investment by the Company. Executive agrees and acknowledges that reasonable limits on Executive’s ability to engage in activities competitive with the Company are warranted to protect its substantial investment in developing and maintaining its status in the marketplace, reputation and goodwill. Executive recognizes that in order to guard the legitimate interests of the Company, it is necessary for it to protect all Confidential Information and the disclosure of Confidential Information would place the Company at a competitive disadvantage. Executive further agrees that Executive’s obligations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reasonable and shall be absolute and unconditional.</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14" w:name="page15"/>
    <w:bookmarkEnd w:id="14"/>
    <w:p>
      <w:pPr>
        <w:jc w:val="both"/>
        <w:ind w:left="563" w:hanging="563"/>
        <w:spacing w:after="0" w:line="244" w:lineRule="auto"/>
        <w:tabs>
          <w:tab w:leader="none" w:pos="563"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6(h)</w:t>
      </w:r>
      <w:r>
        <w:rPr>
          <w:rFonts w:ascii="Times New Roman" w:cs="Times New Roman" w:eastAsia="Times New Roman" w:hAnsi="Times New Roman"/>
          <w:sz w:val="21"/>
          <w:szCs w:val="21"/>
          <w:color w:val="auto"/>
        </w:rPr>
        <w:t xml:space="preserve"> of this Agreement, during Executive’s employment and at all times following Executive’s termination of employment for any reason, Executive shall hold in a fiduciary capacity for the benefit of the Company all non-public information, matters and materials of the Company Group, including, without limitation, know-how, trade secrets, customer lists, pricing policies, operational methods, information relating to products, processes, customers, services and other business and financial affairs and information as to customers or other third parties (collectively,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in each case, which Executive developed or to which Executive has had or may have access and Executive shall not, directly or indirectly, use or disclose such Confidential Information to any Person other than to the extent required in the course of Executive’s employment. “Confidential Information” shall not include any information which is in the public or industry domain during Executive’s employment, provided such information is not in the public or industry domain as a consequence of any action or inaction by Executive in violation of this Agreement. Upon the termination of Executive’s employment for any reason, Executive shall deliver to the Company all documents, papers and records (including, but not limited to, electronic media) in Executive’s possession or subject to Executive’s control that (x) belong to the Company Group or (y) contain or reflect any Confidential Information concerning the Company Group.</w:t>
      </w:r>
    </w:p>
    <w:p>
      <w:pPr>
        <w:spacing w:after="0" w:line="207" w:lineRule="exact"/>
        <w:rPr>
          <w:rFonts w:ascii="Times New Roman" w:cs="Times New Roman" w:eastAsia="Times New Roman" w:hAnsi="Times New Roman"/>
          <w:sz w:val="21"/>
          <w:szCs w:val="21"/>
          <w:color w:val="auto"/>
        </w:rPr>
      </w:pPr>
    </w:p>
    <w:p>
      <w:pPr>
        <w:jc w:val="both"/>
        <w:ind w:left="563" w:hanging="563"/>
        <w:spacing w:after="0" w:line="244" w:lineRule="auto"/>
        <w:tabs>
          <w:tab w:leader="none" w:pos="56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 In consideration of the Company’s obligations hereunder, during Executive’s employment and for a period of 18 months thereafter, Executive will not, whether for Executive’s own account or for any other Person, directly or indirectly, with or without compensation:</w:t>
      </w:r>
    </w:p>
    <w:p>
      <w:pPr>
        <w:spacing w:after="0" w:line="200" w:lineRule="exact"/>
        <w:rPr>
          <w:rFonts w:ascii="Times New Roman" w:cs="Times New Roman" w:eastAsia="Times New Roman" w:hAnsi="Times New Roman"/>
          <w:sz w:val="22"/>
          <w:szCs w:val="22"/>
          <w:color w:val="auto"/>
        </w:rPr>
      </w:pPr>
    </w:p>
    <w:p>
      <w:pPr>
        <w:ind w:left="1303" w:hanging="749"/>
        <w:spacing w:after="0"/>
        <w:tabs>
          <w:tab w:leader="none" w:pos="130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become employed by or otherwise serve, in each case, in a management or executive-level role with, or</w:t>
      </w:r>
    </w:p>
    <w:p>
      <w:pPr>
        <w:spacing w:after="0" w:line="25" w:lineRule="exact"/>
        <w:rPr>
          <w:rFonts w:ascii="Times New Roman" w:cs="Times New Roman" w:eastAsia="Times New Roman" w:hAnsi="Times New Roman"/>
          <w:sz w:val="21"/>
          <w:szCs w:val="21"/>
          <w:color w:val="auto"/>
        </w:rPr>
      </w:pPr>
    </w:p>
    <w:p>
      <w:pPr>
        <w:jc w:val="both"/>
        <w:ind w:left="1303"/>
        <w:spacing w:after="0" w:line="232" w:lineRule="auto"/>
        <w:tabs>
          <w:tab w:leader="none" w:pos="1637"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consulting, advisory, business, investment, strategic, sales, financial, operational or technical advice or services (in each case, to the extent that Executive provided such advice or services to the Company at any time during Executive’s employment with the Company), to any Person engaged in the provision of solar tracker systems, software, technology and engineering services (“</w:t>
      </w:r>
      <w:r>
        <w:rPr>
          <w:rFonts w:ascii="Times New Roman" w:cs="Times New Roman" w:eastAsia="Times New Roman" w:hAnsi="Times New Roman"/>
          <w:sz w:val="22"/>
          <w:szCs w:val="22"/>
          <w:u w:val="single" w:color="auto"/>
          <w:color w:val="auto"/>
        </w:rPr>
        <w:t>Company Business</w:t>
      </w:r>
      <w:r>
        <w:rPr>
          <w:rFonts w:ascii="Times New Roman" w:cs="Times New Roman" w:eastAsia="Times New Roman" w:hAnsi="Times New Roman"/>
          <w:sz w:val="22"/>
          <w:szCs w:val="22"/>
          <w:color w:val="auto"/>
        </w:rPr>
        <w:t>”) in any state of the United States of America or any foreign country in which Executive provided services or had a material presence or influence for or on behalf of the Company during Executive’s employment with the Company Group;</w:t>
      </w:r>
    </w:p>
    <w:p>
      <w:pPr>
        <w:spacing w:after="0" w:line="208" w:lineRule="exact"/>
        <w:rPr>
          <w:sz w:val="20"/>
          <w:szCs w:val="20"/>
          <w:color w:val="auto"/>
        </w:rPr>
      </w:pPr>
    </w:p>
    <w:p>
      <w:pPr>
        <w:jc w:val="both"/>
        <w:ind w:left="1303" w:hanging="749"/>
        <w:spacing w:after="0" w:line="238" w:lineRule="auto"/>
        <w:tabs>
          <w:tab w:leader="none" w:pos="130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Call upon or solicit, (b) divert, (c) take away or (d) attempt to solicit for competitive purposes any of the customers, prospective customers or suppliers or any other business contacts of the Company or any of its subsidiaries with whom Executive had direct or indirect contact or about whom Executive learned, developed or had access to Confidential Information during Executive’s employment with the Company Group; or</w:t>
      </w:r>
    </w:p>
    <w:p>
      <w:pPr>
        <w:spacing w:after="0" w:line="203" w:lineRule="exact"/>
        <w:rPr>
          <w:rFonts w:ascii="Times New Roman" w:cs="Times New Roman" w:eastAsia="Times New Roman" w:hAnsi="Times New Roman"/>
          <w:sz w:val="22"/>
          <w:szCs w:val="22"/>
          <w:color w:val="auto"/>
        </w:rPr>
      </w:pPr>
    </w:p>
    <w:p>
      <w:pPr>
        <w:jc w:val="both"/>
        <w:ind w:left="1303" w:hanging="749"/>
        <w:spacing w:after="0" w:line="244" w:lineRule="auto"/>
        <w:tabs>
          <w:tab w:leader="none" w:pos="130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retain, knowingly hire, knowingly offer to hire, entice away or in any manner persuade or attempt to persuade any officer, employee or agent of the Company or any of its subsidiaries who was employed, engaged or recruited</w:t>
      </w:r>
    </w:p>
    <w:p>
      <w:pPr>
        <w:spacing w:after="0" w:line="214"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572770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08" w:right="339" w:bottom="1440" w:gutter="0" w:footer="0" w:header="0"/>
        </w:sectPr>
      </w:pPr>
    </w:p>
    <w:bookmarkStart w:id="15" w:name="page16"/>
    <w:bookmarkEnd w:id="15"/>
    <w:p>
      <w:pPr>
        <w:jc w:val="both"/>
        <w:ind w:left="1880"/>
        <w:spacing w:after="0" w:line="239" w:lineRule="auto"/>
        <w:rPr>
          <w:sz w:val="20"/>
          <w:szCs w:val="20"/>
          <w:color w:val="auto"/>
        </w:rPr>
      </w:pPr>
      <w:r>
        <w:rPr>
          <w:rFonts w:ascii="Times New Roman" w:cs="Times New Roman" w:eastAsia="Times New Roman" w:hAnsi="Times New Roman"/>
          <w:sz w:val="22"/>
          <w:szCs w:val="22"/>
          <w:color w:val="auto"/>
        </w:rPr>
        <w:t xml:space="preserve">during Executive’s employment with the Company Group to discontinue his or her relationship with the Company or any of its subsidiaries, in each case, for the purpose of providing services to a Person engaged in Company Business. Non-targeted, general, solicitations to the public shall be deemed not to breach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1123"/>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nothing in this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will prohibit Executive from (i) acquiring or holding not more than two percent (2%) of any class of publicly traded securities, or (ii) providing services to a Person who or which engages in or is actively preparing to engage in Company Business, if (x) such services are restricted solely to one or more distinct portions of the operations and business of such Person, (y) such distinct portions do not engage in and/or are not preparing to engage in Company Business, and (z) Executive undertakes not to, and does not, have any discussions with, or participate in, the governance, management or operations of such Person or any business segments thereof that engage in or are actively preparing to engage in Company Business.</w:t>
      </w:r>
    </w:p>
    <w:p>
      <w:pPr>
        <w:spacing w:after="0" w:line="210" w:lineRule="exact"/>
        <w:rPr>
          <w:sz w:val="20"/>
          <w:szCs w:val="20"/>
          <w:color w:val="auto"/>
        </w:rPr>
      </w:pPr>
    </w:p>
    <w:p>
      <w:pPr>
        <w:jc w:val="both"/>
        <w:ind w:left="1140" w:hanging="563"/>
        <w:spacing w:after="0" w:line="233"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All copyrights, trademarks, trade names, servicemarks, patents and other intangible or intellectual property rights that may be invented, conceived, developed or enhanced during Executive’s employment with the Company Group (whether prior to or after the Effective Date) that either (i) relate to the business of the Company Group or (ii) result from any work performed by Executive for the Company Group, shall be the sole property of the Company or such Affiliate, as the case may be, and Executive hereby waives any right or interest that Executive may otherwise have in respect thereof. Upon request of the Company Group, Executive shall execute, acknowledge and deliver any assignment or other instrument or document reasonably necessary or appropriate to give effect to this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 xml:space="preserve"> and do all other acts and things reasonably necessary to enable the Company or such Affiliate, as the case may be, to exploit the same or to obtain patents or similar protection with respect thereto. Executive agrees that Executive shall execute such additional stand-alone agreements protecting the intellectual property of the Company Group as are provided generally to employees of the Company upon their hire or otherwise as a condition to employment.</w:t>
      </w:r>
    </w:p>
    <w:p>
      <w:pPr>
        <w:spacing w:after="0" w:line="211" w:lineRule="exact"/>
        <w:rPr>
          <w:rFonts w:ascii="Times New Roman" w:cs="Times New Roman" w:eastAsia="Times New Roman" w:hAnsi="Times New Roman"/>
          <w:sz w:val="22"/>
          <w:szCs w:val="22"/>
          <w:color w:val="auto"/>
        </w:rPr>
      </w:pPr>
    </w:p>
    <w:p>
      <w:pPr>
        <w:jc w:val="both"/>
        <w:ind w:left="1140" w:hanging="563"/>
        <w:spacing w:after="0" w:line="238"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6(i)</w:t>
      </w:r>
      <w:r>
        <w:rPr>
          <w:rFonts w:ascii="Times New Roman" w:cs="Times New Roman" w:eastAsia="Times New Roman" w:hAnsi="Times New Roman"/>
          <w:sz w:val="22"/>
          <w:szCs w:val="22"/>
          <w:color w:val="auto"/>
        </w:rPr>
        <w:t xml:space="preserve"> of this Agreement, Executive agrees that, at all times after Executive’s employment with the Company Group, Executive shall not make critical, negative or disparaging remarks about the Company Group that could reasonably be expected to result in material harm to the Company Group, including, but not limited to, comments about any of their respective products, services, management, business or employment practices.</w:t>
      </w:r>
    </w:p>
    <w:p>
      <w:pPr>
        <w:spacing w:after="0" w:line="203" w:lineRule="exact"/>
        <w:rPr>
          <w:rFonts w:ascii="Times New Roman" w:cs="Times New Roman" w:eastAsia="Times New Roman" w:hAnsi="Times New Roman"/>
          <w:sz w:val="22"/>
          <w:szCs w:val="22"/>
          <w:color w:val="auto"/>
        </w:rPr>
      </w:pPr>
    </w:p>
    <w:p>
      <w:pPr>
        <w:jc w:val="both"/>
        <w:ind w:left="1140" w:hanging="563"/>
        <w:spacing w:after="0" w:line="236"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6(i) of this Agreement, if (x) Executive executes the Release and so long as Executive does not subsequently revoke the Release and (y) Executive does not breach in any material respect the restrictive covenants set forth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applicable to Executive, the Company Group agrees that, at all times after Executive’s employment with the Company Group, the Company Group shall not (either directly or indirectly through its directors, officers, employees or agents) make or authorize any critical, negative or disparaging remarks about the Executive that could reasonably be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ind w:left="563" w:right="20"/>
        <w:spacing w:after="0" w:line="258" w:lineRule="auto"/>
        <w:rPr>
          <w:sz w:val="20"/>
          <w:szCs w:val="20"/>
          <w:color w:val="auto"/>
        </w:rPr>
      </w:pPr>
      <w:r>
        <w:rPr>
          <w:rFonts w:ascii="Times New Roman" w:cs="Times New Roman" w:eastAsia="Times New Roman" w:hAnsi="Times New Roman"/>
          <w:sz w:val="22"/>
          <w:szCs w:val="22"/>
          <w:color w:val="auto"/>
        </w:rPr>
        <w:t>expected to result in material harm to the Executive, including, but not limited to, comments about the Executive’s character, competence, work ethic or suitability for employment.</w:t>
      </w:r>
    </w:p>
    <w:p>
      <w:pPr>
        <w:spacing w:after="0" w:line="185" w:lineRule="exact"/>
        <w:rPr>
          <w:sz w:val="20"/>
          <w:szCs w:val="20"/>
          <w:color w:val="auto"/>
        </w:rPr>
      </w:pPr>
    </w:p>
    <w:p>
      <w:pPr>
        <w:jc w:val="both"/>
        <w:ind w:left="563" w:hanging="563"/>
        <w:spacing w:after="0" w:line="235" w:lineRule="auto"/>
        <w:tabs>
          <w:tab w:leader="none" w:pos="56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xml:space="preserve">. The Parties agree and acknowledge that the duration, scope and geographic area of the covenants described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fair, reasonable and necessary in order to protect the goodwill and other legitimate interests of the Company, that adequate consideration has been received by Executive for such obligations, and that these obligations do not prevent Executive from earning a livelihood. If, however, for any reason any arbitrator or court of competent jurisdiction determines that the restrictions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not reasonable, that consideration is inadequate or that Executive has been prevented unlawfully from earning a livelihood, such restrictions shall be interpreted, modified or rewritten to include as much of the duration, scope and geographic area identified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as shall render such restrictions valid and enforceable.</w:t>
      </w:r>
    </w:p>
    <w:p>
      <w:pPr>
        <w:spacing w:after="0" w:line="205" w:lineRule="exact"/>
        <w:rPr>
          <w:rFonts w:ascii="Times New Roman" w:cs="Times New Roman" w:eastAsia="Times New Roman" w:hAnsi="Times New Roman"/>
          <w:sz w:val="22"/>
          <w:szCs w:val="22"/>
          <w:color w:val="auto"/>
        </w:rPr>
      </w:pPr>
    </w:p>
    <w:p>
      <w:pPr>
        <w:jc w:val="both"/>
        <w:ind w:left="563" w:hanging="563"/>
        <w:spacing w:after="0" w:line="233" w:lineRule="auto"/>
        <w:tabs>
          <w:tab w:leader="none" w:pos="56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Breach</w:t>
      </w:r>
      <w:r>
        <w:rPr>
          <w:rFonts w:ascii="Times New Roman" w:cs="Times New Roman" w:eastAsia="Times New Roman" w:hAnsi="Times New Roman"/>
          <w:sz w:val="22"/>
          <w:szCs w:val="22"/>
          <w:color w:val="auto"/>
        </w:rPr>
        <w:t xml:space="preserve">. The Parties agree that the restrictive covenants contained in this Agreement are severable and separate, and the unenforceability of any specific covenant herein shall not affect the validity of any other covenant set forth herein. The Parties acknowledges that the Parties may suffer irreparable harm as a result of a material breach of such restrictive covenants by the other Party for which an adequate monetary remedy does not exist and a remedy at law may prove to be inadequate. Accordingly, in the event of any actual or threatened material breach by any of the Parties of any provision of this Section 6, the other Party shall, in addition to any other remedies permitted by law, be entitled to seek to obtain remedies in equity, including, without limitation, specific performance, injunctive relief, a temporary restraining order, and/or a permanent injunction in any court of competent jurisdiction, to prevent or otherwise restrain a material breach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without the necessity of proving damages, posting a bond or other security. Such relief shall be in addition to and not in substitution of any other remedies available to the applicable Party. The existence of any claim or cause of action of one of the Parties against the other Parties, whether predicated on this Agreement or otherwise, shall not constitute a defense to the enforcement by the Company of said covenants.</w:t>
      </w:r>
    </w:p>
    <w:p>
      <w:pPr>
        <w:spacing w:after="0" w:line="209" w:lineRule="exact"/>
        <w:rPr>
          <w:rFonts w:ascii="Times New Roman" w:cs="Times New Roman" w:eastAsia="Times New Roman" w:hAnsi="Times New Roman"/>
          <w:sz w:val="22"/>
          <w:szCs w:val="22"/>
          <w:color w:val="auto"/>
        </w:rPr>
      </w:pPr>
    </w:p>
    <w:p>
      <w:pPr>
        <w:jc w:val="both"/>
        <w:ind w:left="563" w:hanging="563"/>
        <w:spacing w:after="0" w:line="234" w:lineRule="auto"/>
        <w:tabs>
          <w:tab w:leader="none" w:pos="56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Executive and the Company acknowledge that nothing contained in this Agreement or in any other agreement with or policy of the Company is intended, nor shall be construed, to restrict Executive or the Company Group, as applicable, from (i) voluntarily communicating with an attorney or accountant retained by Executive or the Company Group, as applicable, (ii) voluntarily (or involuntarily if validly compelled or subpoenaed by the applicable law enforcement or government agency, provided that Executive or the Company Group, as applicable, uses commercially reasonable efforts to cooperate with any effort by Executive or the Company Group, as applicable, to seek to challenge such communication or testimony or obtain a protective order limiting its communication or testimony, or other appropriate remedy, provided the applicable Party shall pay all reasonable expense of the of the other Party to do so if such other Party seeks to challenge such</w:t>
      </w:r>
    </w:p>
    <w:p>
      <w:pPr>
        <w:spacing w:after="0" w:line="224"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572770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1408" w:right="339" w:bottom="1440" w:gutter="0" w:footer="0" w:header="0"/>
        </w:sectPr>
      </w:pPr>
    </w:p>
    <w:bookmarkStart w:id="17" w:name="page18"/>
    <w:bookmarkEnd w:id="17"/>
    <w:p>
      <w:pPr>
        <w:jc w:val="both"/>
        <w:ind w:left="20"/>
        <w:spacing w:after="0" w:line="231" w:lineRule="auto"/>
        <w:rPr>
          <w:sz w:val="20"/>
          <w:szCs w:val="20"/>
          <w:color w:val="auto"/>
        </w:rPr>
      </w:pPr>
      <w:r>
        <w:rPr>
          <w:rFonts w:ascii="Times New Roman" w:cs="Times New Roman" w:eastAsia="Times New Roman" w:hAnsi="Times New Roman"/>
          <w:sz w:val="22"/>
          <w:szCs w:val="22"/>
          <w:color w:val="auto"/>
        </w:rPr>
        <w:t>communication or testimony) communicating with or testifying before any law enforcement or government agency, including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National Labor Relations Board, the United States Department of Labor, the Equal Employment Opportunity Commission, or any other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or any other member of the Company Group or to Executive, as applicable, (iii) seeking and obtaining payment or an award from the SEC, pursuant to Section 21F of the Securities Exchange Act of 1934, as amended, or obtaining any other “whistleblower” award, to the extent such right cannot by law be waived, (iv) disclosing any information (including, without limitation, Confidential Information) to a court or other administrative or legislative body in response to any subpoena, court order or written request, provided that with respect to any subpoena, court order or written request on behalf of any non-governmental person, Executive uses commercially reasonable efforts to cooperate with any effort by the Company to seek to challenge the subpoena, court order or written request on behalf of any non-governmental person or obtain a protective order limiting its disclosure, or other appropriate remedy, provided the applicable Party shall pay all reasonable expense of the other Party to do so if the applicable Party seeks to challenge such subpoena, court order or written request, (v) filing or disclosing any facts necessary to receive unemployment insurance, Medicaid or other public benefits to which Executive is or may be entitled, (vi) disclosing the underlying facts or circumstances relating to claims of discrimination, in violation of laws prohibiting discrimination, against the Company or Executive, as applicable, or making truthful statements or disclosures related to unlawful discrimination, harassment or retaliation, or otherwise discussing or disclosing information about unlawful acts in the workplace, such as harassment or discrimination or any other conduct that Executive or the Company, as applicable, has reason to believe is unlawful, (vii) enforcing Executive’s Section 7 rights under the National Labor Relations Act, participating in Section 7 activity (including the right to communicate with former coworkers and/or third parties about terms and conditions of employment or labor disputes, unrelated to the amount of severance pay under this Agreement) or otherwise cooperating through investigation, testimony, or otherwise with the National Labor Relations Board, the Securities and Exchange Commission or any other administrative agency or court, or (viii) disclosing or discussing conduct, or the existence of a settlement involving conduct, relating to a dispute: (x) involving a nonconsensual sexual act or sexual contact, as such terms are defined in § 2246 of title 18, United States Code, or similar applicable Tribal or State law, including when the victim lacks capacity to consent; or (y) relating to conduct that is alleged to constitute sexual harassment under applicable Federal, Tribal, or State law. Moreover, pursuant to Section 7 of the Defend Trade Secrets Act of 2016 (which added 18 U.S.C. § 1833(b)), Executive and the Company acknowledge that Executive and the Company Group, as applicable,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w:t>
      </w:r>
    </w:p>
    <w:p>
      <w:pPr>
        <w:spacing w:after="0" w:line="2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8" w:name="page19"/>
    <w:bookmarkEnd w:id="18"/>
    <w:p>
      <w:pPr>
        <w:jc w:val="both"/>
        <w:ind w:left="1120" w:right="20"/>
        <w:spacing w:after="0" w:line="244" w:lineRule="auto"/>
        <w:rPr>
          <w:sz w:val="20"/>
          <w:szCs w:val="20"/>
          <w:color w:val="auto"/>
        </w:rPr>
      </w:pPr>
      <w:r>
        <w:rPr>
          <w:rFonts w:ascii="Times New Roman" w:cs="Times New Roman" w:eastAsia="Times New Roman" w:hAnsi="Times New Roman"/>
          <w:sz w:val="22"/>
          <w:szCs w:val="22"/>
          <w:color w:val="auto"/>
        </w:rPr>
        <w:t>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such Section.</w:t>
      </w:r>
    </w:p>
    <w:p>
      <w:pPr>
        <w:spacing w:after="0" w:line="200" w:lineRule="exact"/>
        <w:rPr>
          <w:sz w:val="20"/>
          <w:szCs w:val="20"/>
          <w:color w:val="auto"/>
        </w:rPr>
      </w:pPr>
    </w:p>
    <w:p>
      <w:pPr>
        <w:jc w:val="both"/>
        <w:ind w:left="560" w:hanging="557"/>
        <w:spacing w:after="0" w:line="235" w:lineRule="auto"/>
        <w:tabs>
          <w:tab w:leader="none" w:pos="5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and all of the terms and conditions hereof, shall bind the Company and its successors and assigns and shall bind Executive and Executive’s heirs, executors and administrators. No transfer or assignment of this Agreement shall release the Company from any obligation to Executive hereunder. Neither this Agreement, nor any of the Company’s rights or obligations hereunder, may be assigned or otherwise subject to hypothecation by Executive, and any such attempted assignment or hypothecation shall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210" w:lineRule="exact"/>
        <w:rPr>
          <w:rFonts w:ascii="Times New Roman" w:cs="Times New Roman" w:eastAsia="Times New Roman" w:hAnsi="Times New Roman"/>
          <w:sz w:val="22"/>
          <w:szCs w:val="22"/>
          <w:color w:val="auto"/>
        </w:rPr>
      </w:pPr>
    </w:p>
    <w:p>
      <w:pPr>
        <w:ind w:left="560" w:hanging="557"/>
        <w:spacing w:after="0"/>
        <w:tabs>
          <w:tab w:leader="none" w:pos="5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200" w:hanging="659"/>
        <w:spacing w:after="0" w:line="233" w:lineRule="auto"/>
        <w:tabs>
          <w:tab w:leader="none" w:pos="12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Agreement, 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require arbitration of any claim or charge which, by law, cannot be the subject of a compulsory arbitration agreement. All Disputes shall be resolved exclusively by arbitration administered by the Judicial Arbitration and Mediation Services (“</w:t>
      </w:r>
      <w:r>
        <w:rPr>
          <w:rFonts w:ascii="Times New Roman" w:cs="Times New Roman" w:eastAsia="Times New Roman" w:hAnsi="Times New Roman"/>
          <w:sz w:val="22"/>
          <w:szCs w:val="22"/>
          <w:u w:val="single" w:color="auto"/>
          <w:color w:val="auto"/>
        </w:rPr>
        <w:t>JAMS</w:t>
      </w:r>
      <w:r>
        <w:rPr>
          <w:rFonts w:ascii="Times New Roman" w:cs="Times New Roman" w:eastAsia="Times New Roman" w:hAnsi="Times New Roman"/>
          <w:sz w:val="22"/>
          <w:szCs w:val="22"/>
          <w:color w:val="auto"/>
        </w:rPr>
        <w:t>”) under the JAMS Comprehensive Arbitration Rules &amp; Procedures then in effect (the “</w:t>
      </w:r>
      <w:r>
        <w:rPr>
          <w:rFonts w:ascii="Times New Roman" w:cs="Times New Roman" w:eastAsia="Times New Roman" w:hAnsi="Times New Roman"/>
          <w:sz w:val="22"/>
          <w:szCs w:val="22"/>
          <w:u w:val="single" w:color="auto"/>
          <w:color w:val="auto"/>
        </w:rPr>
        <w:t>JAMS Rules</w:t>
      </w:r>
      <w:r>
        <w:rPr>
          <w:rFonts w:ascii="Times New Roman" w:cs="Times New Roman" w:eastAsia="Times New Roman" w:hAnsi="Times New Roman"/>
          <w:sz w:val="22"/>
          <w:szCs w:val="22"/>
          <w:color w:val="auto"/>
        </w:rPr>
        <w:t>”).</w:t>
      </w:r>
    </w:p>
    <w:p>
      <w:pPr>
        <w:spacing w:after="0" w:line="214" w:lineRule="exact"/>
        <w:rPr>
          <w:rFonts w:ascii="Times New Roman" w:cs="Times New Roman" w:eastAsia="Times New Roman" w:hAnsi="Times New Roman"/>
          <w:sz w:val="22"/>
          <w:szCs w:val="22"/>
          <w:color w:val="auto"/>
        </w:rPr>
      </w:pPr>
    </w:p>
    <w:p>
      <w:pPr>
        <w:jc w:val="both"/>
        <w:ind w:left="1200" w:hanging="659"/>
        <w:spacing w:after="0" w:line="236" w:lineRule="auto"/>
        <w:tabs>
          <w:tab w:leader="none" w:pos="12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proceeding brought under this Agreement shall be conducted in Austin, Texas or another mutually agreed upon location before one arbitrator selected in accordance with the JAMS Rules. Each Party to any Dispute shall pay its own expenses, including attorneys’ fees; provided, that, the arbitrator shall award the prevailing Party reasonable costs, expenses (including but not limited to arbitration expenses and arbitrator fees) and attorneys’ fees incurred but shall not be able to award any special or punitive damages. The arbitrator shall issue a decision or award in writing, stating the essential findings of fact and conclusions of law.</w:t>
      </w:r>
    </w:p>
    <w:p>
      <w:pPr>
        <w:spacing w:after="0" w:line="208" w:lineRule="exact"/>
        <w:rPr>
          <w:rFonts w:ascii="Times New Roman" w:cs="Times New Roman" w:eastAsia="Times New Roman" w:hAnsi="Times New Roman"/>
          <w:sz w:val="22"/>
          <w:szCs w:val="22"/>
          <w:color w:val="auto"/>
        </w:rPr>
      </w:pPr>
    </w:p>
    <w:p>
      <w:pPr>
        <w:jc w:val="both"/>
        <w:ind w:left="1200" w:hanging="659"/>
        <w:spacing w:after="0" w:line="244" w:lineRule="auto"/>
        <w:tabs>
          <w:tab w:leader="none" w:pos="12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on or enforcement of any award, including an award providing for interim or permanent injunctive relief, rendered by the arbitrator may be entered, enforced or appealed from in any court of competent jurisdiction. Any arbitration proceedings, decision or award rendered hereunder, and the validity, effect and</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19" w:name="page20"/>
    <w:bookmarkEnd w:id="19"/>
    <w:p>
      <w:pPr>
        <w:ind w:left="1200"/>
        <w:spacing w:after="0"/>
        <w:rPr>
          <w:sz w:val="20"/>
          <w:szCs w:val="20"/>
          <w:color w:val="auto"/>
        </w:rPr>
      </w:pPr>
      <w:r>
        <w:rPr>
          <w:rFonts w:ascii="Times New Roman" w:cs="Times New Roman" w:eastAsia="Times New Roman" w:hAnsi="Times New Roman"/>
          <w:sz w:val="22"/>
          <w:szCs w:val="22"/>
          <w:color w:val="auto"/>
        </w:rPr>
        <w:t>interpretation of this arbitration provision, shall be governed by the Federal Arbitration Act, 9 U.S.C. §1 et seq.</w:t>
      </w:r>
    </w:p>
    <w:p>
      <w:pPr>
        <w:spacing w:after="0" w:line="233" w:lineRule="exact"/>
        <w:rPr>
          <w:sz w:val="20"/>
          <w:szCs w:val="20"/>
          <w:color w:val="auto"/>
        </w:rPr>
      </w:pPr>
    </w:p>
    <w:p>
      <w:pPr>
        <w:jc w:val="both"/>
        <w:ind w:left="1200" w:hanging="659"/>
        <w:spacing w:after="0" w:line="234" w:lineRule="auto"/>
        <w:tabs>
          <w:tab w:leader="none" w:pos="12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part of the essence of this Agreement that any Disputes hereunder shall be resolved expeditiously and as confidentially as possible. Accordingly, the Company and Executive agree that all proceedings in any arbitration shall be conducted under seal and kept strictly confidential. In that regard, no Party shall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shall give the other Party reasonable written notice of the intended disclosure and afford such other Party a reasonable opportunity to protect its interests.</w:t>
      </w:r>
    </w:p>
    <w:p>
      <w:pPr>
        <w:spacing w:after="0" w:line="206" w:lineRule="exact"/>
        <w:rPr>
          <w:rFonts w:ascii="Times New Roman" w:cs="Times New Roman" w:eastAsia="Times New Roman" w:hAnsi="Times New Roman"/>
          <w:sz w:val="22"/>
          <w:szCs w:val="22"/>
          <w:color w:val="auto"/>
        </w:rPr>
      </w:pPr>
    </w:p>
    <w:p>
      <w:pPr>
        <w:ind w:left="560" w:hanging="557"/>
        <w:spacing w:after="0"/>
        <w:tabs>
          <w:tab w:leader="none" w:pos="5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200" w:hanging="659"/>
        <w:spacing w:after="0" w:line="235" w:lineRule="auto"/>
        <w:tabs>
          <w:tab w:leader="none" w:pos="12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(3rd)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To the Company: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Chief Financial Officer</w:t>
      </w:r>
    </w:p>
    <w:p>
      <w:pPr>
        <w:ind w:left="2600"/>
        <w:spacing w:after="0" w:line="230" w:lineRule="auto"/>
        <w:rPr>
          <w:sz w:val="20"/>
          <w:szCs w:val="20"/>
          <w:color w:val="auto"/>
        </w:rPr>
      </w:pPr>
      <w:r>
        <w:rPr>
          <w:rFonts w:ascii="Times New Roman" w:cs="Times New Roman" w:eastAsia="Times New Roman" w:hAnsi="Times New Roman"/>
          <w:sz w:val="22"/>
          <w:szCs w:val="22"/>
          <w:color w:val="auto"/>
        </w:rPr>
        <w:t>10900 Stonelake Blvd, Suite 100,</w:t>
      </w:r>
    </w:p>
    <w:p>
      <w:pPr>
        <w:ind w:left="2600"/>
        <w:spacing w:after="0" w:line="231" w:lineRule="auto"/>
        <w:rPr>
          <w:sz w:val="20"/>
          <w:szCs w:val="20"/>
          <w:color w:val="auto"/>
        </w:rPr>
      </w:pPr>
      <w:r>
        <w:rPr>
          <w:rFonts w:ascii="Times New Roman" w:cs="Times New Roman" w:eastAsia="Times New Roman" w:hAnsi="Times New Roman"/>
          <w:sz w:val="22"/>
          <w:szCs w:val="22"/>
          <w:color w:val="auto"/>
        </w:rPr>
        <w:t>Quarry Oaks II Building,</w:t>
      </w:r>
    </w:p>
    <w:p>
      <w:pPr>
        <w:ind w:left="2600"/>
        <w:spacing w:after="0"/>
        <w:rPr>
          <w:sz w:val="20"/>
          <w:szCs w:val="20"/>
          <w:color w:val="auto"/>
        </w:rPr>
      </w:pPr>
      <w:r>
        <w:rPr>
          <w:rFonts w:ascii="Times New Roman" w:cs="Times New Roman" w:eastAsia="Times New Roman" w:hAnsi="Times New Roman"/>
          <w:sz w:val="22"/>
          <w:szCs w:val="22"/>
          <w:color w:val="auto"/>
        </w:rPr>
        <w:t>Austin, Texas</w:t>
      </w:r>
    </w:p>
    <w:p>
      <w:pPr>
        <w:spacing w:after="0" w:line="20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To Executive:</w:t>
      </w:r>
    </w:p>
    <w:p>
      <w:pPr>
        <w:spacing w:after="0" w:line="2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 the address shown in the Company Group’s personnel records.</w:t>
      </w:r>
    </w:p>
    <w:p>
      <w:pPr>
        <w:spacing w:after="0" w:line="233" w:lineRule="exact"/>
        <w:rPr>
          <w:sz w:val="20"/>
          <w:szCs w:val="20"/>
          <w:color w:val="auto"/>
        </w:rPr>
      </w:pPr>
    </w:p>
    <w:p>
      <w:pPr>
        <w:jc w:val="both"/>
        <w:ind w:left="1200" w:hanging="659"/>
        <w:spacing w:after="0" w:line="239" w:lineRule="auto"/>
        <w:tabs>
          <w:tab w:leader="none" w:pos="12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any Exhibits hereto) constitutes the sole and entire agreement of the Parties to this Agreement with respect to the subject matter contained herein and therein, and, effective as of the Effective Date, supersedes all other prior and contemporaneous representations, warranties, understandings and agreements, both written and oral, with respect to such subject matter.</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0" w:name="page21"/>
    <w:bookmarkEnd w:id="20"/>
    <w:p>
      <w:pPr>
        <w:ind w:left="659" w:right="20" w:hanging="659"/>
        <w:spacing w:after="0" w:line="258" w:lineRule="auto"/>
        <w:tabs>
          <w:tab w:leader="none" w:pos="6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only and shall not affect the interpretation of this Agreement.</w:t>
      </w:r>
    </w:p>
    <w:p>
      <w:pPr>
        <w:spacing w:after="0" w:line="185" w:lineRule="exact"/>
        <w:rPr>
          <w:rFonts w:ascii="Times New Roman" w:cs="Times New Roman" w:eastAsia="Times New Roman" w:hAnsi="Times New Roman"/>
          <w:sz w:val="22"/>
          <w:szCs w:val="22"/>
          <w:color w:val="auto"/>
        </w:rPr>
      </w:pPr>
    </w:p>
    <w:p>
      <w:pPr>
        <w:jc w:val="both"/>
        <w:ind w:left="659" w:hanging="659"/>
        <w:spacing w:after="0" w:line="238" w:lineRule="auto"/>
        <w:tabs>
          <w:tab w:leader="none" w:pos="6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Modification; Waiver</w:t>
      </w:r>
      <w:r>
        <w:rPr>
          <w:rFonts w:ascii="Times New Roman" w:cs="Times New Roman" w:eastAsia="Times New Roman" w:hAnsi="Times New Roman"/>
          <w:sz w:val="22"/>
          <w:szCs w:val="22"/>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3" w:lineRule="exact"/>
        <w:rPr>
          <w:rFonts w:ascii="Times New Roman" w:cs="Times New Roman" w:eastAsia="Times New Roman" w:hAnsi="Times New Roman"/>
          <w:sz w:val="22"/>
          <w:szCs w:val="22"/>
          <w:color w:val="auto"/>
        </w:rPr>
      </w:pPr>
    </w:p>
    <w:p>
      <w:pPr>
        <w:jc w:val="both"/>
        <w:ind w:left="659" w:hanging="659"/>
        <w:spacing w:after="0" w:line="244" w:lineRule="auto"/>
        <w:tabs>
          <w:tab w:leader="none" w:pos="6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 Texas without giving effect to any choice or conflict of law provision or rule (whether of the State of Texas or any other jurisdiction).</w:t>
      </w:r>
    </w:p>
    <w:p>
      <w:pPr>
        <w:spacing w:after="0" w:line="200" w:lineRule="exact"/>
        <w:rPr>
          <w:rFonts w:ascii="Times New Roman" w:cs="Times New Roman" w:eastAsia="Times New Roman" w:hAnsi="Times New Roman"/>
          <w:sz w:val="22"/>
          <w:szCs w:val="22"/>
          <w:color w:val="auto"/>
        </w:rPr>
      </w:pPr>
    </w:p>
    <w:p>
      <w:pPr>
        <w:jc w:val="both"/>
        <w:ind w:left="659" w:hanging="659"/>
        <w:spacing w:after="0" w:line="244" w:lineRule="auto"/>
        <w:tabs>
          <w:tab w:leader="none" w:pos="6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Survivorship</w:t>
      </w:r>
      <w:r>
        <w:rPr>
          <w:rFonts w:ascii="Times New Roman" w:cs="Times New Roman" w:eastAsia="Times New Roman" w:hAnsi="Times New Roman"/>
          <w:sz w:val="22"/>
          <w:szCs w:val="22"/>
          <w:color w:val="auto"/>
        </w:rPr>
        <w:t xml:space="preserve">. The provisions of this Agreement necessary to carry out the intention of the Parties as expressed herein shall survive the termination or expiration of this Agreement, including without limitation, the provisions of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w:t>
      </w:r>
    </w:p>
    <w:p>
      <w:pPr>
        <w:spacing w:after="0" w:line="200" w:lineRule="exact"/>
        <w:rPr>
          <w:rFonts w:ascii="Times New Roman" w:cs="Times New Roman" w:eastAsia="Times New Roman" w:hAnsi="Times New Roman"/>
          <w:sz w:val="22"/>
          <w:szCs w:val="22"/>
          <w:color w:val="auto"/>
        </w:rPr>
      </w:pPr>
    </w:p>
    <w:p>
      <w:pPr>
        <w:jc w:val="both"/>
        <w:ind w:left="659" w:hanging="659"/>
        <w:spacing w:after="0" w:line="239" w:lineRule="auto"/>
        <w:tabs>
          <w:tab w:leader="none" w:pos="6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207" w:lineRule="exact"/>
        <w:rPr>
          <w:rFonts w:ascii="Times New Roman" w:cs="Times New Roman" w:eastAsia="Times New Roman" w:hAnsi="Times New Roman"/>
          <w:sz w:val="22"/>
          <w:szCs w:val="22"/>
          <w:color w:val="auto"/>
        </w:rPr>
      </w:pPr>
    </w:p>
    <w:p>
      <w:pPr>
        <w:jc w:val="both"/>
        <w:ind w:left="659" w:hanging="659"/>
        <w:spacing w:after="0" w:line="255" w:lineRule="auto"/>
        <w:tabs>
          <w:tab w:leader="none" w:pos="65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The Parties acknowledge that this Agreement is the result of arm’s-length negotiations between sophisticated Parties, each afforded representation by legal counsel. Each and every provision of this Agreement shall be construed as though both Parties participated equally in the drafting of the same, and any rule of construction that a document shall be construed against the drafting Party shall not be applicable to this Agreement.</w:t>
      </w:r>
    </w:p>
    <w:p>
      <w:pPr>
        <w:spacing w:after="0" w:line="188" w:lineRule="exact"/>
        <w:rPr>
          <w:rFonts w:ascii="Times New Roman" w:cs="Times New Roman" w:eastAsia="Times New Roman" w:hAnsi="Times New Roman"/>
          <w:sz w:val="21"/>
          <w:szCs w:val="21"/>
          <w:color w:val="auto"/>
        </w:rPr>
      </w:pPr>
    </w:p>
    <w:p>
      <w:pPr>
        <w:jc w:val="both"/>
        <w:ind w:left="659" w:hanging="659"/>
        <w:spacing w:after="0" w:line="239" w:lineRule="auto"/>
        <w:tabs>
          <w:tab w:leader="none" w:pos="6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compensation payable to Executive pursuant to this Agreement shall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207" w:lineRule="exact"/>
        <w:rPr>
          <w:rFonts w:ascii="Times New Roman" w:cs="Times New Roman" w:eastAsia="Times New Roman" w:hAnsi="Times New Roman"/>
          <w:sz w:val="22"/>
          <w:szCs w:val="22"/>
          <w:color w:val="auto"/>
        </w:rPr>
      </w:pPr>
    </w:p>
    <w:p>
      <w:pPr>
        <w:jc w:val="both"/>
        <w:ind w:left="659" w:hanging="659"/>
        <w:spacing w:after="0" w:line="236" w:lineRule="auto"/>
        <w:tabs>
          <w:tab w:leader="none" w:pos="6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comply with, or be exempt from, Section 409A of the Code,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of the Code until Executive would be</w:t>
      </w:r>
    </w:p>
    <w:p>
      <w:pPr>
        <w:spacing w:after="0" w:line="222" w:lineRule="exact"/>
        <w:rPr>
          <w:sz w:val="20"/>
          <w:szCs w:val="20"/>
          <w:color w:val="auto"/>
        </w:rPr>
      </w:pPr>
    </w:p>
    <w:p>
      <w:pPr>
        <w:ind w:left="49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572770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9"/>
          </w:cols>
          <w:pgMar w:left="881" w:top="1408" w:right="339" w:bottom="1440" w:gutter="0" w:footer="0" w:header="0"/>
        </w:sectPr>
      </w:pPr>
    </w:p>
    <w:bookmarkStart w:id="21" w:name="page22"/>
    <w:bookmarkEnd w:id="21"/>
    <w:p>
      <w:pPr>
        <w:jc w:val="both"/>
        <w:ind w:left="659"/>
        <w:spacing w:after="0" w:line="232" w:lineRule="auto"/>
        <w:rPr>
          <w:sz w:val="20"/>
          <w:szCs w:val="20"/>
          <w:color w:val="auto"/>
        </w:rPr>
      </w:pPr>
      <w:r>
        <w:rPr>
          <w:rFonts w:ascii="Times New Roman" w:cs="Times New Roman" w:eastAsia="Times New Roman" w:hAnsi="Times New Roman"/>
          <w:sz w:val="22"/>
          <w:szCs w:val="22"/>
          <w:color w:val="auto"/>
        </w:rPr>
        <w:t>considered to have incurred a “separation from service” from the Company Group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Group during the six-month period immediately following Executive’s separation from service shall instead be paid on the first business day after the date that is six months following Executive’s separation from service (or, if earlier,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If any payments under this Agreement could commence or be made in more than one taxable year based on when Executive executes the Release, then to the extent required to avoid the imposition of tax under Section 409A of the Code, any such amounts that otherwise would have been paid in such first taxable year instead shall be paid on the first payroll day in the second of such two taxable years (with any remaining payments to be made as if no such delay had occurred). The Company makes no representation that any or all of the payments described in this Agreement shall be exempt from or comply with Section 409A of the Code and makes no undertaking to preclude Section 409A of the Code from applying to any such payment.</w:t>
      </w:r>
    </w:p>
    <w:p>
      <w:pPr>
        <w:spacing w:after="0" w:line="212" w:lineRule="exact"/>
        <w:rPr>
          <w:sz w:val="20"/>
          <w:szCs w:val="20"/>
          <w:color w:val="auto"/>
        </w:rPr>
      </w:pPr>
    </w:p>
    <w:p>
      <w:pPr>
        <w:jc w:val="both"/>
        <w:ind w:left="659" w:hanging="659"/>
        <w:spacing w:after="0" w:line="244" w:lineRule="auto"/>
        <w:tabs>
          <w:tab w:leader="none" w:pos="65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280G Payments</w:t>
      </w:r>
      <w:r>
        <w:rPr>
          <w:rFonts w:ascii="Times New Roman" w:cs="Times New Roman" w:eastAsia="Times New Roman" w:hAnsi="Times New Roman"/>
          <w:sz w:val="21"/>
          <w:szCs w:val="21"/>
          <w:color w:val="auto"/>
        </w:rPr>
        <w:t>. Any other provision of this Agreement to the contrary notwithstanding, if any portion of any payment or benefit under this Agreement either individually or in conjunction with any payment or benefit under any other plan, agreement or arrangement (all such payments and benefits,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constitute an “excess parachute payment” within the meaning of Code Section 280G, that is subject to the tax imposed by Section 4999 of such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Total Payments to be made to Executive shall be reduced, but only to the extent that Executive would retain a greater amount on an after-tax basis than he would retain absent such reduction, such that the value of the Total Payments that Executive is entitled to receive shall be $1 less than the maximum amount which the Employee may receive without becoming subject to the Excise Tax. For purposes of this Section 9(k), the determination of whichever amount is greater on an after-tax basis shall be (x) based on maximum federal, state and local income and employment tax rates and the Excise Tax that would be imposed on Executive and (y) made at the Company’s expense by independent consultants or accountants selected by the Company which determination shall be binding on both Executive and the Company. Any such reduction as may apply under this Section 9(k) shall be applied in the following order: (i) payments that are payable in cash the full amount of which are treated as parachute payments under Treasury Regulation Section 1.280G-1, Q&amp;A</w:t>
      </w:r>
    </w:p>
    <w:p>
      <w:pPr>
        <w:spacing w:after="0" w:line="221" w:lineRule="exact"/>
        <w:rPr>
          <w:sz w:val="20"/>
          <w:szCs w:val="20"/>
          <w:color w:val="auto"/>
        </w:rPr>
      </w:pPr>
    </w:p>
    <w:p>
      <w:pPr>
        <w:ind w:left="495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572770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9"/>
          </w:cols>
          <w:pgMar w:left="881" w:top="1408" w:right="339" w:bottom="1440" w:gutter="0" w:footer="0" w:header="0"/>
        </w:sectPr>
      </w:pPr>
    </w:p>
    <w:bookmarkStart w:id="22" w:name="page23"/>
    <w:bookmarkEnd w:id="22"/>
    <w:p>
      <w:pPr>
        <w:jc w:val="both"/>
        <w:ind w:left="659"/>
        <w:spacing w:after="0" w:line="234" w:lineRule="auto"/>
        <w:rPr>
          <w:sz w:val="20"/>
          <w:szCs w:val="20"/>
          <w:color w:val="auto"/>
        </w:rPr>
      </w:pPr>
      <w:r>
        <w:rPr>
          <w:rFonts w:ascii="Times New Roman" w:cs="Times New Roman" w:eastAsia="Times New Roman" w:hAnsi="Times New Roman"/>
          <w:sz w:val="22"/>
          <w:szCs w:val="22"/>
          <w:color w:val="auto"/>
        </w:rPr>
        <w:t>24(a) will be reduced (if necessary, to zero), with amounts that are payable last reduced first; (ii) payments and benefits due in respect of any equity the full amount of which are treated as parachute payments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next be reduced pro-rata.</w:t>
      </w:r>
    </w:p>
    <w:p>
      <w:pPr>
        <w:spacing w:after="0" w:line="206" w:lineRule="exact"/>
        <w:rPr>
          <w:sz w:val="20"/>
          <w:szCs w:val="20"/>
          <w:color w:val="auto"/>
        </w:rPr>
      </w:pPr>
    </w:p>
    <w:p>
      <w:pPr>
        <w:jc w:val="both"/>
        <w:ind w:left="659" w:hanging="659"/>
        <w:spacing w:after="0" w:line="238" w:lineRule="auto"/>
        <w:tabs>
          <w:tab w:leader="none" w:pos="65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The Company agrees that, upon termination of Executive’s employment hereunder, Executive is not required to seek other employment or to attempt in any way to reduce any amounts payable to Executive by the Company Group under this Agreement or otherwise. Further, no payment or benefit provided for in this Agreement or elsewhere shall be reduced by any compensation earned by Executive as the result of employment by another employer.</w:t>
      </w:r>
    </w:p>
    <w:p>
      <w:pPr>
        <w:spacing w:after="0" w:line="203" w:lineRule="exact"/>
        <w:rPr>
          <w:rFonts w:ascii="Times New Roman" w:cs="Times New Roman" w:eastAsia="Times New Roman" w:hAnsi="Times New Roman"/>
          <w:sz w:val="22"/>
          <w:szCs w:val="22"/>
          <w:color w:val="auto"/>
        </w:rPr>
      </w:pPr>
    </w:p>
    <w:p>
      <w:pPr>
        <w:jc w:val="both"/>
        <w:ind w:left="659" w:hanging="659"/>
        <w:spacing w:after="0" w:line="239" w:lineRule="auto"/>
        <w:tabs>
          <w:tab w:leader="none" w:pos="65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203" w:lineRule="exact"/>
        <w:rPr>
          <w:sz w:val="20"/>
          <w:szCs w:val="20"/>
          <w:color w:val="auto"/>
        </w:rPr>
      </w:pPr>
    </w:p>
    <w:p>
      <w:pPr>
        <w:ind w:left="30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is left blank intentionally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p>
      <w:pPr>
        <w:ind w:left="49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572770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9"/>
          </w:cols>
          <w:pgMar w:left="881" w:top="1408" w:right="33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22"/>
          <w:szCs w:val="22"/>
          <w:color w:val="auto"/>
        </w:rPr>
        <w:t>IN WITNESS WHEREOF AND INTENDING TO BE LEGALLY BOUND THEREBY, the Parties hereto have executed and delivered this Agreement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FTC SOLAR,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-13970</wp:posOffset>
            </wp:positionV>
            <wp:extent cx="16878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p>
      <w:pPr>
        <w:ind w:left="3840"/>
        <w:spacing w:after="0"/>
        <w:rPr>
          <w:sz w:val="20"/>
          <w:szCs w:val="20"/>
          <w:color w:val="auto"/>
        </w:rPr>
      </w:pPr>
      <w:r>
        <w:rPr>
          <w:rFonts w:ascii="Times New Roman" w:cs="Times New Roman" w:eastAsia="Times New Roman" w:hAnsi="Times New Roman"/>
          <w:sz w:val="22"/>
          <w:szCs w:val="22"/>
          <w:color w:val="auto"/>
        </w:rPr>
        <w:t>Name: Cathy Behnen</w:t>
      </w:r>
    </w:p>
    <w:p>
      <w:pPr>
        <w:ind w:left="38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Anthony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135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Anthony Carroll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Method of Calculating the Number of Share Target RSUs that are Earned and Vested</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number of Share Target RSUs that are cumulatively earned and will vest on any Annual Share Target RSU Vesting Date shall equal (x) the total number of such RSUs allocated to the applicable “Price Hurdle” as described above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percentage in the “Year 1”, “Year 2” or “Year 3” column of the chart below based on which year the Price Hurdle was achieved. If a Price Hurdle is achieved in Year 2 or Year 3, the percentage to be used in clause (y) above will be reduced by the percentage used on any Annual Share Target RSU Vesting Date(s) that occurred for the same Price Hurdle in respect of prior years. By way of example, if the Price Hurdle of $10.00 is achieved at any point during Year 1 and Year 3, but not in Year 2, the earned annual percentage to be used in clause (y) above in calculating the number of Share Target RSUs earned for each year would be 33.33% (Year 1), 0% (Year 2), 66.67% (Year 3), respectively.</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Price Hurdle</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Weight</w:t>
            </w:r>
          </w:p>
        </w:tc>
        <w:tc>
          <w:tcPr>
            <w:tcW w:w="224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Year 1</w:t>
            </w:r>
          </w:p>
        </w:tc>
        <w:tc>
          <w:tcPr>
            <w:tcW w:w="224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Year 2</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Year 3</w:t>
            </w:r>
          </w:p>
        </w:tc>
      </w:tr>
      <w:tr>
        <w:trPr>
          <w:trHeight w:val="220"/>
        </w:trPr>
        <w:tc>
          <w:tcPr>
            <w:tcW w:w="226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9"/>
              </w:rPr>
              <w:t>$10.00</w:t>
            </w:r>
          </w:p>
        </w:tc>
        <w:tc>
          <w:tcPr>
            <w:tcW w:w="226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9"/>
              </w:rPr>
              <w:t>50%</w:t>
            </w:r>
          </w:p>
        </w:tc>
        <w:tc>
          <w:tcPr>
            <w:tcW w:w="2240" w:type="dxa"/>
            <w:vAlign w:val="bottom"/>
            <w:tcBorders>
              <w:bottom w:val="single" w:sz="8" w:color="auto"/>
              <w:right w:val="single" w:sz="8" w:color="auto"/>
            </w:tcBorders>
          </w:tcPr>
          <w:p>
            <w:pPr>
              <w:ind w:left="780"/>
              <w:spacing w:after="0" w:line="220" w:lineRule="exact"/>
              <w:rPr>
                <w:sz w:val="20"/>
                <w:szCs w:val="20"/>
                <w:color w:val="auto"/>
              </w:rPr>
            </w:pPr>
            <w:r>
              <w:rPr>
                <w:rFonts w:ascii="Times New Roman" w:cs="Times New Roman" w:eastAsia="Times New Roman" w:hAnsi="Times New Roman"/>
                <w:sz w:val="22"/>
                <w:szCs w:val="22"/>
                <w:color w:val="auto"/>
              </w:rPr>
              <w:t>33.33%</w:t>
            </w:r>
          </w:p>
        </w:tc>
        <w:tc>
          <w:tcPr>
            <w:tcW w:w="2240" w:type="dxa"/>
            <w:vAlign w:val="bottom"/>
            <w:tcBorders>
              <w:bottom w:val="single" w:sz="8" w:color="auto"/>
              <w:right w:val="single" w:sz="8" w:color="auto"/>
            </w:tcBorders>
          </w:tcPr>
          <w:p>
            <w:pPr>
              <w:ind w:left="780"/>
              <w:spacing w:after="0" w:line="220" w:lineRule="exact"/>
              <w:rPr>
                <w:sz w:val="20"/>
                <w:szCs w:val="20"/>
                <w:color w:val="auto"/>
              </w:rPr>
            </w:pPr>
            <w:r>
              <w:rPr>
                <w:rFonts w:ascii="Times New Roman" w:cs="Times New Roman" w:eastAsia="Times New Roman" w:hAnsi="Times New Roman"/>
                <w:sz w:val="22"/>
                <w:szCs w:val="22"/>
                <w:color w:val="auto"/>
              </w:rPr>
              <w:t>66.66%</w:t>
            </w:r>
          </w:p>
        </w:tc>
        <w:tc>
          <w:tcPr>
            <w:tcW w:w="22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100%</w:t>
            </w:r>
          </w:p>
        </w:tc>
      </w:tr>
      <w:tr>
        <w:trPr>
          <w:trHeight w:val="237"/>
        </w:trPr>
        <w:tc>
          <w:tcPr>
            <w:tcW w:w="2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$20.00</w:t>
            </w:r>
          </w:p>
        </w:tc>
        <w:tc>
          <w:tcPr>
            <w:tcW w:w="2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50%</w:t>
            </w:r>
          </w:p>
        </w:tc>
        <w:tc>
          <w:tcPr>
            <w:tcW w:w="2240" w:type="dxa"/>
            <w:vAlign w:val="bottom"/>
            <w:tcBorders>
              <w:bottom w:val="single" w:sz="8" w:color="auto"/>
              <w:right w:val="single" w:sz="8" w:color="auto"/>
            </w:tcBorders>
          </w:tcPr>
          <w:p>
            <w:pPr>
              <w:ind w:left="780"/>
              <w:spacing w:after="0" w:line="237" w:lineRule="exact"/>
              <w:rPr>
                <w:sz w:val="20"/>
                <w:szCs w:val="20"/>
                <w:color w:val="auto"/>
              </w:rPr>
            </w:pPr>
            <w:r>
              <w:rPr>
                <w:rFonts w:ascii="Times New Roman" w:cs="Times New Roman" w:eastAsia="Times New Roman" w:hAnsi="Times New Roman"/>
                <w:sz w:val="22"/>
                <w:szCs w:val="22"/>
                <w:color w:val="auto"/>
              </w:rPr>
              <w:t>33.33%</w:t>
            </w:r>
          </w:p>
        </w:tc>
        <w:tc>
          <w:tcPr>
            <w:tcW w:w="2240" w:type="dxa"/>
            <w:vAlign w:val="bottom"/>
            <w:tcBorders>
              <w:bottom w:val="single" w:sz="8" w:color="auto"/>
              <w:right w:val="single" w:sz="8" w:color="auto"/>
            </w:tcBorders>
          </w:tcPr>
          <w:p>
            <w:pPr>
              <w:ind w:left="780"/>
              <w:spacing w:after="0" w:line="237" w:lineRule="exact"/>
              <w:rPr>
                <w:sz w:val="20"/>
                <w:szCs w:val="20"/>
                <w:color w:val="auto"/>
              </w:rPr>
            </w:pPr>
            <w:r>
              <w:rPr>
                <w:rFonts w:ascii="Times New Roman" w:cs="Times New Roman" w:eastAsia="Times New Roman" w:hAnsi="Times New Roman"/>
                <w:sz w:val="22"/>
                <w:szCs w:val="22"/>
                <w:color w:val="auto"/>
              </w:rPr>
              <w:t>66.66%</w:t>
            </w:r>
          </w:p>
        </w:tc>
        <w:tc>
          <w:tcPr>
            <w:tcW w:w="22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r>
    </w:tbl>
    <w:p>
      <w:pPr>
        <w:spacing w:after="0" w:line="200" w:lineRule="exact"/>
        <w:rPr>
          <w:sz w:val="20"/>
          <w:szCs w:val="20"/>
          <w:color w:val="auto"/>
        </w:rPr>
      </w:pPr>
    </w:p>
    <w:p>
      <w:pPr>
        <w:spacing w:after="0" w:line="2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if following the achievement of a Price Hurdle, if Executive is terminated without Cause or resigns for Good Reason (each as defined herein) between the date the Price Hurdle is met during the year and the subsequent Annual Share Target RSU Vesting Date, subject to the release requirements of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5(c)</w:t>
      </w:r>
      <w:r>
        <w:rPr>
          <w:rFonts w:ascii="Times New Roman" w:cs="Times New Roman" w:eastAsia="Times New Roman" w:hAnsi="Times New Roman"/>
          <w:sz w:val="22"/>
          <w:szCs w:val="22"/>
          <w:color w:val="auto"/>
        </w:rPr>
        <w:t xml:space="preserve">, as the case may be, the applicable Share Target RSUs shall vest on the Date of Termination in the same amount as they would have vested on such Annual Share Target RSU Vesting Date. Any other Share Target RSUs that remain unvested upon Executive’s departure or that remain unvested as of the third Annual Share Target RSU Vesting Date (whether or not Executive has departed) shall be forfeited, subject to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governing termination of employment following a Change in Control.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Annual Cash Bonus</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initial Target Bonus shall be based on the Company achieving one fiscal quarter with positive adjusted EBITDA, as determined by the Compensation Committee.</w:t>
      </w: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 DOCVARIABLE "SWDocIDLocation" 1" = "1" " DOCPROPERTY "SWDocID" US 256441112v3" "" US 256441112v3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Release of Claims</w:t>
      </w:r>
    </w:p>
    <w:p>
      <w:pPr>
        <w:spacing w:after="0" w:line="23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connection with my termination of employment effective [DATE]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xml:space="preserve">”), in accordance with Section [5(b)] / [5(c)] of the employment agreement between FTC Solar, Inc. (the “Company”) and me dated [DATE] (the “Employment Agreement”), I, Anthony Carroll, as a condition precedent to the payment of the amounts and provision of the benefits set forth in Section [5(b)] /[5(c)] of the Employment Agreement, as enumerated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Severance Payments</w:t>
      </w:r>
      <w:r>
        <w:rPr>
          <w:rFonts w:ascii="Times New Roman" w:cs="Times New Roman" w:eastAsia="Times New Roman" w:hAnsi="Times New Roman"/>
          <w:sz w:val="22"/>
          <w:szCs w:val="22"/>
          <w:color w:val="auto"/>
        </w:rPr>
        <w:t>”), payable on the schedule set forth in the Employment Agreement following the Effective Date (as defined below) of this general release of claims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and intending to be legally bound, do hereby agree as follows:</w:t>
      </w:r>
    </w:p>
    <w:p>
      <w:pPr>
        <w:spacing w:after="0" w:line="210"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505"/>
        <w:spacing w:after="0" w:line="243" w:lineRule="auto"/>
        <w:tabs>
          <w:tab w:leader="none" w:pos="203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on behalf of myself, and my heirs, executors, administrators, successors and assigns, hereby irrevocably and unconditionally waive, release, and forever discharge the Company and its affiliates, direct or indirect, managers, members, partners, stockholders, parents, subsidiaries, related entities and each of their respective officers, employees, attorneys and representatives, predecessors, successors, heirs and assigns, (collectively, the “</w:t>
      </w:r>
      <w:r>
        <w:rPr>
          <w:rFonts w:ascii="Times New Roman" w:cs="Times New Roman" w:eastAsia="Times New Roman" w:hAnsi="Times New Roman"/>
          <w:sz w:val="21"/>
          <w:szCs w:val="21"/>
          <w:u w:val="single" w:color="auto"/>
          <w:color w:val="auto"/>
        </w:rPr>
        <w:t>Company Releasees</w:t>
      </w:r>
      <w:r>
        <w:rPr>
          <w:rFonts w:ascii="Times New Roman" w:cs="Times New Roman" w:eastAsia="Times New Roman" w:hAnsi="Times New Roman"/>
          <w:sz w:val="21"/>
          <w:szCs w:val="21"/>
          <w:color w:val="auto"/>
        </w:rPr>
        <w:t xml:space="preserve">”) from any and all charges, complaints, claims, liabilities, obligations, promises, agreements, causes of action, rights, costs, losses, debts and expenses of any nature whatsoever, </w:t>
      </w:r>
      <w:r>
        <w:rPr>
          <w:rFonts w:ascii="Times New Roman" w:cs="Times New Roman" w:eastAsia="Times New Roman" w:hAnsi="Times New Roman"/>
          <w:sz w:val="21"/>
          <w:szCs w:val="21"/>
          <w:b w:val="1"/>
          <w:bCs w:val="1"/>
          <w:u w:val="single" w:color="auto"/>
          <w:color w:val="auto"/>
        </w:rPr>
        <w:t>known or unknown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suspected or unsuspected</w:t>
      </w:r>
      <w:r>
        <w:rPr>
          <w:rFonts w:ascii="Times New Roman" w:cs="Times New Roman" w:eastAsia="Times New Roman" w:hAnsi="Times New Roman"/>
          <w:sz w:val="21"/>
          <w:szCs w:val="21"/>
          <w:color w:val="auto"/>
        </w:rPr>
        <w:t>, which I or my heirs, executors, administrators, successors or assigns ever had, now have or hereafter can, will or may have (either directly, indirectly, derivatively or in any other representative capacity) by reason of any matter, fact or cause whatsoever against the Company Releasees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(i) arising from the beginning of time through the date upon which I execute this General Release, including, but not limited to (A) any such Claims relating to or arising out of my employment with the Company or any of the Company Releasees,</w:t>
      </w:r>
    </w:p>
    <w:p>
      <w:pPr>
        <w:spacing w:after="0" w:line="8" w:lineRule="exact"/>
        <w:rPr>
          <w:rFonts w:ascii="Times New Roman" w:cs="Times New Roman" w:eastAsia="Times New Roman" w:hAnsi="Times New Roman"/>
          <w:sz w:val="21"/>
          <w:szCs w:val="21"/>
          <w:color w:val="auto"/>
        </w:rPr>
      </w:pPr>
    </w:p>
    <w:p>
      <w:pPr>
        <w:jc w:val="both"/>
        <w:ind w:firstLine="8"/>
        <w:spacing w:after="0" w:line="230" w:lineRule="auto"/>
        <w:tabs>
          <w:tab w:leader="none" w:pos="3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Claims arising under any foreign, federal, state or local labor, employment, whistleblower or anti-discrimination laws or any other laws including, without limitation, the federal Age Discrimination in Employment Act (ADEA) or the Older Workers Benefit Protection Act; Employee Retirement Income Security Act; the Americans with Disabilities Act; Title VII of the Civil Rights Act of 1964; the Civil Rights Act of 1991; the Equal Pay Act; the Immigration and Reform Control Act; the Worker Adjustment and Retraining Notification Act (WARN); the Uniformed Services Employment and Re-Employment Act; the Rehabilitation Act of 1973; Texas Labor Code (specifically including the Texas Payday Law, the Texas Anti-Retaliation Act, Chapter 21 of the Texas Labor Code, and the Texas Whistleblower Act) and the Texas Commission on Human Rights Act, each as amended and including each of their respective implementing regulations, and (C) any such Claims arising under tort, contract, or quasi-contract law, including but not limited to, claims for breach of contract (both express and implied), breach of any covenant of good faith and fair dealing (both express and implied), promissory estoppel, fraud, negligent or intentional infliction of emotional distress, negligent or intentional misrepresentation or unfair business practices, and any such Claims for attorneys’ fees and punitive or consequential damages; (ii) arising out of, or relating to, the termination of my employment with the Company or any of the Company Releasees; or (iii) arising out of, or relating to, any agreement or contract with the Company or any of the Company Releasees and/or 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 DOCVARIABLE "SWDocIDLocation" 1" = "1" " DOCPROPERTY "SWDocID" US 256441112v3" "" US 256441112v3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 w:name="page27"/>
    <w:bookmarkEnd w:id="26"/>
    <w:p>
      <w:pPr>
        <w:jc w:val="both"/>
        <w:spacing w:after="0" w:line="234" w:lineRule="auto"/>
        <w:rPr>
          <w:sz w:val="20"/>
          <w:szCs w:val="20"/>
          <w:color w:val="auto"/>
        </w:rPr>
      </w:pPr>
      <w:r>
        <w:rPr>
          <w:rFonts w:ascii="Times New Roman" w:cs="Times New Roman" w:eastAsia="Times New Roman" w:hAnsi="Times New Roman"/>
          <w:sz w:val="22"/>
          <w:szCs w:val="22"/>
          <w:color w:val="auto"/>
        </w:rPr>
        <w:t>awards, policies, plans, programs, understanding or promise, written or oral, formal or informal, between any Company Releasee and I or practices of the Company or any of the Company Releasees that may apply to me or in which I may participate, including, but not limited to, any rights under bonus plans or programs of the Company or any of the Company Releasees and/or any other short-term or long-term equity-based or cash-based incentive plans or programs of the Company or any of the Company Releasees; and (iv) arising out of, or relating to, my status as an employee, officer, member, manager, partner or director of the Company or any of the Company Releasees. It is further understood and agreed that, notwithstanding any statute or common law principle, and for the purpose of implementing a full and complete release and discharge of all claims, I expressly acknowledge that this release is intended to include in its effect, without limitation, all Claims which I do not know or suspect to exist in my favor at the time of execution hereof, and that the release agreed upon herein contemplates the full extinguishment of my Claims.</w:t>
      </w:r>
    </w:p>
    <w:p>
      <w:pPr>
        <w:spacing w:after="0" w:line="206" w:lineRule="exact"/>
        <w:rPr>
          <w:sz w:val="20"/>
          <w:szCs w:val="20"/>
          <w:color w:val="auto"/>
        </w:rPr>
      </w:pPr>
    </w:p>
    <w:p>
      <w:pPr>
        <w:jc w:val="both"/>
        <w:ind w:firstLine="1505"/>
        <w:spacing w:after="0" w:line="244" w:lineRule="auto"/>
        <w:tabs>
          <w:tab w:leader="none" w:pos="2036"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Company and I recognize that nothing contained in Section 1(a) shall in any way release, impair or discharge: (i) any rights I may have to vested benefits under employee benefit plans; (ii) any right to file an administrative charge or complaint with, or testify, assist, or participate in an investigation, hearing, or proceeding conducted by, the Equal Employment Opportunity Commission, the Texas Workforce Commission, or other similar federal, state, or local administrative agencies, although the I waive any right to monetary relief related to any filed charge or administrative complaint to the extent permitted by applicable law (provided, however, that nothing in this General Release will limit my right to receive an award for information provided to any governmental agencies under any whistleblower program),</w:t>
      </w:r>
    </w:p>
    <w:p>
      <w:pPr>
        <w:spacing w:after="0" w:line="6" w:lineRule="exact"/>
        <w:rPr>
          <w:rFonts w:ascii="Times New Roman" w:cs="Times New Roman" w:eastAsia="Times New Roman" w:hAnsi="Times New Roman"/>
          <w:sz w:val="21"/>
          <w:szCs w:val="21"/>
          <w:color w:val="auto"/>
        </w:rPr>
      </w:pPr>
    </w:p>
    <w:p>
      <w:pPr>
        <w:ind w:firstLine="8"/>
        <w:spacing w:after="0" w:line="237" w:lineRule="auto"/>
        <w:tabs>
          <w:tab w:leader="none" w:pos="3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indemnification which I might have as a result of my employment with the Company, and/or (iv) any rights that cannot be waived under applicable law.</w:t>
      </w:r>
    </w:p>
    <w:p>
      <w:pPr>
        <w:spacing w:after="0" w:line="205"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voluntarily accept the Severance Payments and acknowledge that these payments are conditioned upon my execution and non-revocation of this General Release and continued compliance with the restrictive covenants set forth in Section 6 of the Employment Agreement (the “Restrictive Covenants”). I acknowledge and agree that in executing this General Release, I am not relying, and have not relied, upon any oral or written representations or statements not set forth or referred to in this General Release or the Employment Agreement.</w:t>
      </w:r>
    </w:p>
    <w:p>
      <w:pPr>
        <w:spacing w:after="0" w:line="20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further acknowledge and agree that the Company Releasees have fully satisfied any and all obligations whatsoever owed to me arising out of my employment with the Company, and that no further payments or benefits are owed to me by the Company Releasees, other than any unpaid amount of the Severance Payment payable pursuant to the Employment Agreement.</w:t>
      </w:r>
    </w:p>
    <w:p>
      <w:pPr>
        <w:spacing w:after="0" w:line="207"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and Revocation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acknowledge that the Company has advised me to consult with an attorney of my own choosing prior to executing this General Release. I represent that I have had the opportunity to review this General Release with an attorney of my choosing. I also agree and acknowledge that I am receiving benefits and payments to which I would not otherwise be entitled unless I sign this General Release, that I have voluntarily consented to this General Release and that I have entered into this General Release freely, knowingly and voluntarily.</w:t>
      </w: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 DOCVARIABLE "SWDocIDLocation" 1" = "1" " DOCPROPERTY "SWDocID" US 256441112v3" "" US 256441112v3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spacing w:after="0" w:line="212" w:lineRule="exact"/>
        <w:rPr>
          <w:sz w:val="20"/>
          <w:szCs w:val="20"/>
          <w:color w:val="auto"/>
        </w:rPr>
      </w:pPr>
    </w:p>
    <w:p>
      <w:pPr>
        <w:jc w:val="both"/>
        <w:ind w:firstLine="1505"/>
        <w:spacing w:after="0" w:line="235" w:lineRule="auto"/>
        <w:tabs>
          <w:tab w:leader="none" w:pos="203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have twenty-one (21) calendar days from the last date of my employment to consider the terms of this General Release. However, I may sign and return this General Release before the expiration of the twenty-one (21) calendar day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b w:val="1"/>
          <w:bCs w:val="1"/>
          <w:color w:val="auto"/>
        </w:rPr>
        <w:t>in no event can I sign this General Release prior to the Separation Date</w:t>
      </w:r>
      <w:r>
        <w:rPr>
          <w:rFonts w:ascii="Times New Roman" w:cs="Times New Roman" w:eastAsia="Times New Roman" w:hAnsi="Times New Roman"/>
          <w:sz w:val="22"/>
          <w:szCs w:val="22"/>
          <w:color w:val="auto"/>
        </w:rPr>
        <w:t>. I agree that changes to this General Release, whether material or immaterial, will not restart the running of the twenty-one (21) calendar day period. Once signed, I will have seven (7) additional calendar days from the date that I sign this General Release to revoke my consent. Such revocation must be in writing and must be addressed and sent via mail and email as follows: Mail to: [NAME] [ADDRESS]; Email to: [EMAIL]. This General Release will become effective on the eighth (8th) calendar day after the date on which I execute it, provided that I have not timely revoked my consent to it (the “Effective Date”).</w:t>
      </w:r>
    </w:p>
    <w:p>
      <w:pPr>
        <w:spacing w:after="0" w:line="205"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xml:space="preserve">. The Restrictive Covenants are incorporated by reference herein as if executed in </w:t>
      </w:r>
      <w:r>
        <w:rPr>
          <w:rFonts w:ascii="Times New Roman" w:cs="Times New Roman" w:eastAsia="Times New Roman" w:hAnsi="Times New Roman"/>
          <w:sz w:val="22"/>
          <w:szCs w:val="22"/>
          <w:u w:val="single" w:color="auto"/>
          <w:color w:val="auto"/>
        </w:rPr>
        <w:t>connection</w:t>
      </w:r>
      <w:r>
        <w:rPr>
          <w:rFonts w:ascii="Times New Roman" w:cs="Times New Roman" w:eastAsia="Times New Roman" w:hAnsi="Times New Roman"/>
          <w:sz w:val="22"/>
          <w:szCs w:val="22"/>
          <w:color w:val="auto"/>
        </w:rPr>
        <w:t xml:space="preserve"> with this General Release. I represent that I have complied at all times with the Restrictive Covenants and will continue to comply with the Restrictive Covenants in accordance with their terms, and, without limiting the foregoing, I agree that, by executing this General Release I am re-affirming my commitment to abide by the Restrictive Covenants.</w:t>
      </w:r>
    </w:p>
    <w:p>
      <w:pPr>
        <w:spacing w:after="0" w:line="207" w:lineRule="exact"/>
        <w:rPr>
          <w:rFonts w:ascii="Times New Roman" w:cs="Times New Roman" w:eastAsia="Times New Roman" w:hAnsi="Times New Roman"/>
          <w:sz w:val="22"/>
          <w:szCs w:val="22"/>
          <w:color w:val="auto"/>
        </w:rPr>
      </w:pPr>
    </w:p>
    <w:p>
      <w:pPr>
        <w:jc w:val="both"/>
        <w:ind w:firstLine="8"/>
        <w:spacing w:after="0" w:line="236" w:lineRule="auto"/>
        <w:tabs>
          <w:tab w:leader="none" w:pos="5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I agree to cooperate reasonably with the Company and make myself available to provide assistance as may be reasonably requested by the Company in respect of any investigation or claim by or against the Company or related to my employment with the Company, including by, upon reasonable advance notice, (a) providing information and/or documents to the Company and/or the professional advisers (including legal advisers) of the Company, (b) co-operating in the preparation of witness statements, and (c) attending any relevant hearings to give evidence. The Company will reimburse me for any reasonable expenses incurred in connection with my cooperation.</w:t>
      </w:r>
    </w:p>
    <w:p>
      <w:pPr>
        <w:spacing w:after="0" w:line="208"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w:t>
      </w:r>
      <w:r>
        <w:rPr>
          <w:rFonts w:ascii="Times New Roman" w:cs="Times New Roman" w:eastAsia="Times New Roman" w:hAnsi="Times New Roman"/>
          <w:sz w:val="22"/>
          <w:szCs w:val="22"/>
          <w:color w:val="auto"/>
        </w:rPr>
        <w:t>. This General Release does not constitute an admission of liability or wrongdoing by me or the Company. Neither this General Release nor any of its terms may be used as an admission or introduced as evidence as to any issue of law or fact in any proceeding, suit or action, other than an action to enforce this General Release.</w:t>
      </w:r>
    </w:p>
    <w:p>
      <w:pPr>
        <w:spacing w:after="0" w:line="200" w:lineRule="exact"/>
        <w:rPr>
          <w:rFonts w:ascii="Times New Roman" w:cs="Times New Roman" w:eastAsia="Times New Roman" w:hAnsi="Times New Roman"/>
          <w:sz w:val="22"/>
          <w:szCs w:val="22"/>
          <w:color w:val="auto"/>
        </w:rPr>
      </w:pPr>
    </w:p>
    <w:p>
      <w:pPr>
        <w:jc w:val="both"/>
        <w:ind w:firstLine="8"/>
        <w:spacing w:after="0" w:line="238" w:lineRule="auto"/>
        <w:tabs>
          <w:tab w:leader="none" w:pos="5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A failure of any of the Company Releasees to insist on strict compliance with any provision of this General Release shall not be deemed a waiver of such provision or any other provision hereof. If any provision of this General Release is determined to be so broad as to be unenforceable, such provision shall be interpreted to be only so broad as is enforceable, and in the event that any provision is determined to be entirely unenforceable, such provision shall be deemed severable, such that all other provisions of this General Release shall remain valid and binding.</w:t>
      </w:r>
    </w:p>
    <w:p>
      <w:pPr>
        <w:spacing w:after="0" w:line="203" w:lineRule="exact"/>
        <w:rPr>
          <w:rFonts w:ascii="Times New Roman" w:cs="Times New Roman" w:eastAsia="Times New Roman" w:hAnsi="Times New Roman"/>
          <w:sz w:val="22"/>
          <w:szCs w:val="22"/>
          <w:color w:val="auto"/>
        </w:rPr>
      </w:pPr>
    </w:p>
    <w:p>
      <w:pPr>
        <w:jc w:val="both"/>
        <w:ind w:firstLine="8"/>
        <w:spacing w:after="0" w:line="261" w:lineRule="auto"/>
        <w:tabs>
          <w:tab w:leader="none" w:pos="50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Each Party the Drafter</w:t>
      </w:r>
      <w:r>
        <w:rPr>
          <w:rFonts w:ascii="Times New Roman" w:cs="Times New Roman" w:eastAsia="Times New Roman" w:hAnsi="Times New Roman"/>
          <w:sz w:val="21"/>
          <w:szCs w:val="21"/>
          <w:color w:val="auto"/>
        </w:rPr>
        <w:t>. This General Release, and the provisions contained in it, shall not be construed or interpreted for, or against, any party to this General Release because that party drafted or caused that party’s legal representatives to draft any of its provisions. I agree that the terms of this General Release, including the economic terms, have been individually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-45085</wp:posOffset>
            </wp:positionV>
            <wp:extent cx="34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 DOCVARIABLE "SWDocIDLocation" 1" = "1" " DOCPROPERTY "SWDocID" US 256441112v3" "" US 256441112v3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ind w:firstLine="8"/>
        <w:spacing w:after="0" w:line="244" w:lineRule="auto"/>
        <w:tabs>
          <w:tab w:leader="none" w:pos="5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General Release may be executed in counterparts, and each counterpart, when so executed and delivered, shall be deemed to be an original and both counterparts, taken together, shall constitute one and the same General Release. A faxed or.pdf-ed signature shall operate the same as an original signature.</w:t>
      </w:r>
    </w:p>
    <w:p>
      <w:pPr>
        <w:spacing w:after="0" w:line="200"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General Release is personal to me and may not be assigned by me. This General Release shall be assignable by the Company, in whole or in part, and will inure to the benefit of and be binding upon the Company and any successor organization which shall succeed to the Company by merger or consolidation or operation of law, or by acquisition of assets of the Company and any assigns.</w:t>
      </w:r>
    </w:p>
    <w:p>
      <w:pPr>
        <w:spacing w:after="0" w:line="207" w:lineRule="exact"/>
        <w:rPr>
          <w:rFonts w:ascii="Times New Roman" w:cs="Times New Roman" w:eastAsia="Times New Roman" w:hAnsi="Times New Roman"/>
          <w:sz w:val="22"/>
          <w:szCs w:val="22"/>
          <w:color w:val="auto"/>
        </w:rPr>
      </w:pPr>
    </w:p>
    <w:p>
      <w:pPr>
        <w:jc w:val="both"/>
        <w:ind w:firstLine="8"/>
        <w:spacing w:after="0" w:line="236" w:lineRule="auto"/>
        <w:tabs>
          <w:tab w:leader="none" w:pos="5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Severability</w:t>
      </w:r>
      <w:r>
        <w:rPr>
          <w:rFonts w:ascii="Times New Roman" w:cs="Times New Roman" w:eastAsia="Times New Roman" w:hAnsi="Times New Roman"/>
          <w:sz w:val="22"/>
          <w:szCs w:val="22"/>
          <w:color w:val="auto"/>
        </w:rPr>
        <w:t>. In the event that a court of competent jurisdiction shall determine that any provision of this General Release or the application thereof is unenforceable in whole or in part because of the scope thereof, the parties hereto agree that said court in making such determination shall have the power to reduce the scope of such provision to the extent necessary to make it enforceable, and that the General Release in its reduced form shall be valid and enforceable to the full extent permitted by law. The provisions of this General Release are severable and the invalidity of any one or more provisions shall not affect the validity of any other provision.</w:t>
      </w:r>
    </w:p>
    <w:p>
      <w:pPr>
        <w:spacing w:after="0" w:line="208"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General Release along with the Employment Agreement contain the entire agreement between the Company and I relating to the matters contained herein and amends, supersedes and restates all prior agreements and understandings, oral or written, between the Company and I with respect to the subject matter hereof.</w:t>
      </w:r>
    </w:p>
    <w:p>
      <w:pPr>
        <w:spacing w:after="0" w:line="200"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General Release shall be governed by, and construed in accordance with, the laws of the State of Texas, without regard to the application of any choice-of-law rules that would result in the application of another state’s laws.</w:t>
      </w:r>
    </w:p>
    <w:p>
      <w:pPr>
        <w:spacing w:after="0" w:line="185" w:lineRule="exact"/>
        <w:rPr>
          <w:sz w:val="20"/>
          <w:szCs w:val="20"/>
          <w:color w:val="auto"/>
        </w:rPr>
      </w:pPr>
    </w:p>
    <w:p>
      <w:pPr>
        <w:ind w:left="5120"/>
        <w:spacing w:after="0"/>
        <w:tabs>
          <w:tab w:leader="none" w:pos="5580" w:val="left"/>
          <w:tab w:leader="none" w:pos="60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have executed this General Release on the date set forth below.</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 _________________</w:t>
      </w:r>
    </w:p>
    <w:p>
      <w:pPr>
        <w:spacing w:after="0" w:line="14"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Anthony Carroll</w:t>
      </w:r>
      <w:r>
        <w:rPr>
          <w:sz w:val="20"/>
          <w:szCs w:val="20"/>
          <w:color w:val="auto"/>
        </w:rPr>
        <w:tab/>
      </w:r>
      <w:r>
        <w:rPr>
          <w:rFonts w:ascii="Times New Roman" w:cs="Times New Roman" w:eastAsia="Times New Roman" w:hAnsi="Times New Roman"/>
          <w:sz w:val="21"/>
          <w:szCs w:val="21"/>
          <w:color w:val="auto"/>
        </w:rPr>
        <w:t>Date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 DOCVARIABLE "SWDocIDLocation" 1" = "1" " DOCPROPERTY "SWDocID" US 256441112v3" "" US 256441112v3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center"/>
        <w:ind w:right="-1120"/>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SEVERANCE PAYMENTS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 be completed at the time of termination.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 DOCVARIABLE "SWDocIDLocation" 1" = "1" " DOCPROPERTY "SWDocID" US 256441112v3" "" US 256441112v3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048510" cy="685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485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FTC Solar Announces First Quarter 2026 Financial Results</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and Leadership Transition</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First Quarter Highlights and Recent Developments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w:t>
      </w:r>
    </w:p>
    <w:p>
      <w:pPr>
        <w:spacing w:after="0" w:line="19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Awarded 1GW agreement for 1P trackers from new customer with a leading global company offtaker</w:t>
      </w:r>
    </w:p>
    <w:p>
      <w:pPr>
        <w:spacing w:after="0" w:line="2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revenue of $17.3 million</w:t>
      </w:r>
    </w:p>
    <w:p>
      <w:pPr>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Profitability metrics (ex-warrant gain) within target ranges</w:t>
      </w:r>
    </w:p>
    <w:p>
      <w:pPr>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Leadership transition announced with Board Member Anthony Carroll appointed CEO</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AUSTIN, Texas</w:t>
      </w:r>
      <w:r>
        <w:rPr>
          <w:rFonts w:ascii="Times New Roman" w:cs="Times New Roman" w:eastAsia="Times New Roman" w:hAnsi="Times New Roman"/>
          <w:sz w:val="20"/>
          <w:szCs w:val="20"/>
          <w:color w:val="auto"/>
        </w:rPr>
        <w:t> — May 5, 2026– FTC Solar, Inc. (Nasdaq: FTCI), a leading provider of solar tracker systems, today announced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first quarter ended March 31, 2026 and a leadership transition.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Leadership Transition</w:t>
      </w:r>
    </w:p>
    <w:p>
      <w:pPr>
        <w:spacing w:after="0" w:line="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Board Member Anthony Carroll has been appointed President and Chief Executive Officer of FTC Solar, effective April 29. Carroll brings strong renewables experience with a proven track record of scaling operations and driving value creation. He most recently served as CEO of Veev, a subsidiary of Lennar focused on efficient and sustainable homebuilding. Prior to joining Veev in early 2024, he was the President of Powin, a global leader in energy storage systems. He has also served as Managing Director at Siemens Gamesa Electric, leading the Power Conversion and Energy Storage business in North America, as well as in leadership roles for Schneider Electric and Power Electronics</w:t>
      </w:r>
      <w:r>
        <w:rPr>
          <w:rFonts w:ascii="Times New Roman" w:cs="Times New Roman" w:eastAsia="Times New Roman" w:hAnsi="Times New Roman"/>
          <w:sz w:val="19"/>
          <w:szCs w:val="19"/>
          <w:color w:val="231F20"/>
        </w:rPr>
        <w:t>.</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1E1E1E"/>
        </w:rPr>
        <w:t xml:space="preserve">"We are excited to welcome Anthony in this new capacity, at what we believe is a critical inflection point for the business," said </w:t>
      </w:r>
      <w:r>
        <w:rPr>
          <w:rFonts w:ascii="Times New Roman" w:cs="Times New Roman" w:eastAsia="Times New Roman" w:hAnsi="Times New Roman"/>
          <w:sz w:val="20"/>
          <w:szCs w:val="20"/>
          <w:color w:val="231F20"/>
        </w:rPr>
        <w:t>Shaker</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color w:val="231F20"/>
        </w:rPr>
        <w:t>Sadasivam, Chairman of the Board, FTC Solar</w:t>
      </w:r>
      <w:r>
        <w:rPr>
          <w:rFonts w:ascii="Times New Roman" w:cs="Times New Roman" w:eastAsia="Times New Roman" w:hAnsi="Times New Roman"/>
          <w:sz w:val="20"/>
          <w:szCs w:val="20"/>
          <w:color w:val="1E1E1E"/>
        </w:rPr>
        <w:t>. "His operational depth, dynamic leadership, and demonstrated success in scaling growth</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1E1E1E"/>
        </w:rPr>
        <w:t>businesses make him exceptionally well-suited to lead FTC Solar into its next chapter. We have a strong foundation now, and we believe the best is ahead for this business, our customers, and our team."</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1E1E1E"/>
        </w:rPr>
        <w:t>“Yann Brandt stepped into FTC at an important inflection point and delivered what was needed to position the company for its next stage of growth,” Sadasivam continued. “We are grateful for his contributions to FTC Solar and wish him well in his future endeavors."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Results</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Total first-quarter revenue was $17.3 million. This represents a decrease of 47.5% compared to the prior quarter revenue and a decrease of 17.0% compared to the year-ago quarter.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gross loss was $1.2 million, or 7.1% of revenue, compared to gross profit of $4.9 million, or 14.9% of revenue, in the prior quarter.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Non-GAAP gross loss was $0.4 million or 2.2% of revenue. This compares to Non-GAAP gross loss of $3.0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860425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Summary Financial Performance: Q1 2026 compared to Q1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9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9"/>
                <w:szCs w:val="19"/>
                <w:b w:val="1"/>
                <w:bCs w:val="1"/>
                <w:color w:val="auto"/>
                <w:vertAlign w:val="superscript"/>
              </w:rPr>
              <w:t>(b)</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980" w:type="dxa"/>
            <w:vAlign w:val="bottom"/>
            <w:tcBorders>
              <w:bottom w:val="single" w:sz="8" w:color="auto"/>
            </w:tcBorders>
            <w:gridSpan w:val="5"/>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3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3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3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3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3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3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Loss from operations</w:t>
            </w:r>
            <w:r>
              <w:rPr>
                <w:rFonts w:ascii="Times New Roman" w:cs="Times New Roman" w:eastAsia="Times New Roman" w:hAnsi="Times New Roman"/>
                <w:sz w:val="24"/>
                <w:szCs w:val="24"/>
                <w:color w:val="auto"/>
                <w:vertAlign w:val="superscript"/>
              </w:rPr>
              <w:t>(a)</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(12,058)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(10,560)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3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(3,819)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(10,460)</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(10,801)</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(0.58)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(0.67)</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for Non-GAAP</w:t>
      </w:r>
    </w:p>
    <w:p>
      <w:pPr>
        <w:spacing w:after="0" w:line="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below for reconciliation of Non-GAAP financial measures to the nearest comparable GAAP measures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GAAP operating expenses were $10.8 million. On a Non-GAAP basis, operating expenses were $7.8 million. This compares to Non-GAAP operating expenses of $8.2 million in the prior quarter and $6.6 million in the year-ago quarter. </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GAAP net income was $32.6 million, or a loss of $0.72 per diluted share, compared to a loss of $36.4 million or $2.40 per diluted share in the prior quarter and a net loss of $3.8 million or $0.58 per diluted share in the year-ago quarter. Adjusted EBITDA loss, which excludes approximately $40.8 million for (i) a gain from the change in fair value of the warrant liability, partially offset by (ii) certain CEO transition costs, and (iii) other non-cash items, was $8.2 million, compared to Adjusted EBITDA losses of $2.3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in the prior quarter and $9.8 million in the year-ago quarter.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contracted portion of the company's backlog</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now stands at approximately $543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Subsequent Events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to its financial results, the company announced that it has received a new award for 1 gigawatt of trackers for multiple project sites in the U.S. The award comes from a new customer, a private equity-backed portfolio company developing projects with high-profile corporate offtakers. The first of three roughly equal project tranches under this award has been contracted.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continues to expect the first quarter to represent the low point in revenue for the year, with sequential quarterly growth for the remainder of 2026. With recent new wins and visibility, the company also has increasing confidence that full-year revenue will outpace the market in 2026 and represent growth of approximately 40% relative to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6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1Q'26</w:t>
            </w:r>
          </w:p>
        </w:tc>
        <w:tc>
          <w:tcPr>
            <w:tcW w:w="2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1Q'26</w:t>
            </w:r>
          </w:p>
        </w:tc>
        <w:tc>
          <w:tcPr>
            <w:tcW w:w="240" w:type="dxa"/>
            <w:vAlign w:val="bottom"/>
          </w:tcPr>
          <w:p>
            <w:pPr>
              <w:spacing w:after="0"/>
              <w:rPr>
                <w:sz w:val="14"/>
                <w:szCs w:val="14"/>
                <w:color w:val="auto"/>
              </w:rPr>
            </w:pPr>
          </w:p>
        </w:tc>
        <w:tc>
          <w:tcPr>
            <w:tcW w:w="1420" w:type="dxa"/>
            <w:vAlign w:val="bottom"/>
            <w:gridSpan w:val="2"/>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2Q'26</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8"/>
                <w:szCs w:val="8"/>
                <w:b w:val="1"/>
                <w:bCs w:val="1"/>
                <w:color w:val="auto"/>
                <w:w w:val="85"/>
              </w:rPr>
              <w:t>(3)</w:t>
            </w:r>
          </w:p>
        </w:tc>
        <w:tc>
          <w:tcPr>
            <w:tcW w:w="0" w:type="dxa"/>
            <w:vAlign w:val="bottom"/>
          </w:tcPr>
          <w:p>
            <w:pPr>
              <w:spacing w:after="0"/>
              <w:rPr>
                <w:sz w:val="1"/>
                <w:szCs w:val="1"/>
                <w:color w:val="auto"/>
              </w:rPr>
            </w:pPr>
          </w:p>
        </w:tc>
      </w:tr>
      <w:tr>
        <w:trPr>
          <w:trHeight w:val="155"/>
        </w:trPr>
        <w:tc>
          <w:tcPr>
            <w:tcW w:w="3540" w:type="dxa"/>
            <w:vAlign w:val="bottom"/>
            <w:tcBorders>
              <w:bottom w:val="single" w:sz="8" w:color="auto"/>
            </w:tcBorders>
            <w:vMerge w:val="continue"/>
          </w:tcPr>
          <w:p>
            <w:pPr>
              <w:spacing w:after="0"/>
              <w:rPr>
                <w:sz w:val="13"/>
                <w:szCs w:val="13"/>
                <w:color w:val="auto"/>
              </w:rPr>
            </w:pPr>
          </w:p>
        </w:tc>
        <w:tc>
          <w:tcPr>
            <w:tcW w:w="2960" w:type="dxa"/>
            <w:vAlign w:val="bottom"/>
            <w:tcBorders>
              <w:bottom w:val="single" w:sz="8" w:color="auto"/>
            </w:tcBorders>
            <w:gridSpan w:val="3"/>
          </w:tcPr>
          <w:p>
            <w:pPr>
              <w:jc w:val="center"/>
              <w:ind w:left="535"/>
              <w:spacing w:after="0" w:line="155" w:lineRule="exact"/>
              <w:rPr>
                <w:sz w:val="20"/>
                <w:szCs w:val="20"/>
                <w:color w:val="auto"/>
              </w:rPr>
            </w:pPr>
            <w:r>
              <w:rPr>
                <w:rFonts w:ascii="Times New Roman" w:cs="Times New Roman" w:eastAsia="Times New Roman" w:hAnsi="Times New Roman"/>
                <w:sz w:val="14"/>
                <w:szCs w:val="14"/>
                <w:b w:val="1"/>
                <w:bCs w:val="1"/>
                <w:color w:val="auto"/>
              </w:rPr>
              <w:t>Guidance</w:t>
            </w:r>
          </w:p>
        </w:tc>
        <w:tc>
          <w:tcPr>
            <w:tcW w:w="260" w:type="dxa"/>
            <w:vAlign w:val="bottom"/>
          </w:tcPr>
          <w:p>
            <w:pPr>
              <w:spacing w:after="0"/>
              <w:rPr>
                <w:sz w:val="13"/>
                <w:szCs w:val="13"/>
                <w:color w:val="auto"/>
              </w:rPr>
            </w:pPr>
          </w:p>
        </w:tc>
        <w:tc>
          <w:tcPr>
            <w:tcW w:w="1900" w:type="dxa"/>
            <w:vAlign w:val="bottom"/>
            <w:tcBorders>
              <w:bottom w:val="single" w:sz="8" w:color="auto"/>
            </w:tcBorders>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3"/>
                <w:szCs w:val="13"/>
                <w:color w:val="auto"/>
              </w:rPr>
            </w:pPr>
          </w:p>
        </w:tc>
        <w:tc>
          <w:tcPr>
            <w:tcW w:w="1420" w:type="dxa"/>
            <w:vAlign w:val="bottom"/>
            <w:tcBorders>
              <w:bottom w:val="single" w:sz="8" w:color="auto"/>
            </w:tcBorders>
            <w:gridSpan w:val="2"/>
          </w:tcPr>
          <w:p>
            <w:pPr>
              <w:ind w:left="820"/>
              <w:spacing w:after="0" w:line="155" w:lineRule="exact"/>
              <w:rPr>
                <w:sz w:val="20"/>
                <w:szCs w:val="20"/>
                <w:color w:val="auto"/>
              </w:rPr>
            </w:pPr>
            <w:r>
              <w:rPr>
                <w:rFonts w:ascii="Times New Roman" w:cs="Times New Roman" w:eastAsia="Times New Roman" w:hAnsi="Times New Roman"/>
                <w:sz w:val="14"/>
                <w:szCs w:val="14"/>
                <w:b w:val="1"/>
                <w:bCs w:val="1"/>
                <w:color w:val="auto"/>
              </w:rPr>
              <w:t>Guidance</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$25.0</w:t>
            </w:r>
          </w:p>
        </w:tc>
        <w:tc>
          <w:tcPr>
            <w:tcW w:w="21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FF0FC"/>
          </w:tcPr>
          <w:p>
            <w:pPr>
              <w:spacing w:after="0"/>
              <w:rPr>
                <w:sz w:val="18"/>
                <w:szCs w:val="18"/>
                <w:color w:val="auto"/>
              </w:rPr>
            </w:pPr>
          </w:p>
        </w:tc>
        <w:tc>
          <w:tcPr>
            <w:tcW w:w="234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$22.0 – $26.0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$2.3</w:t>
            </w:r>
          </w:p>
        </w:tc>
        <w:tc>
          <w:tcPr>
            <w:tcW w:w="21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9.2%</w:t>
            </w:r>
          </w:p>
        </w:tc>
        <w:tc>
          <w:tcPr>
            <w:tcW w:w="21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$8.9</w:t>
            </w:r>
          </w:p>
        </w:tc>
        <w:tc>
          <w:tcPr>
            <w:tcW w:w="21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5"/>
              </w:rPr>
              <w:t>$7.8</w:t>
            </w:r>
          </w:p>
        </w:tc>
        <w:tc>
          <w:tcPr>
            <w:tcW w:w="240" w:type="dxa"/>
            <w:vAlign w:val="bottom"/>
          </w:tcPr>
          <w:p>
            <w:pPr>
              <w:spacing w:after="0"/>
              <w:rPr>
                <w:sz w:val="18"/>
                <w:szCs w:val="18"/>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$8.4 – $9.0</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$(5.9)</w:t>
            </w:r>
          </w:p>
        </w:tc>
        <w:tc>
          <w:tcPr>
            <w:tcW w:w="21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6"/>
              </w:rPr>
              <w:t>$(8.2)</w:t>
            </w:r>
          </w:p>
        </w:tc>
        <w:tc>
          <w:tcPr>
            <w:tcW w:w="240" w:type="dxa"/>
            <w:vAlign w:val="bottom"/>
            <w:shd w:val="clear" w:color="auto" w:fill="CFF0FC"/>
          </w:tcPr>
          <w:p>
            <w:pPr>
              <w:spacing w:after="0"/>
              <w:rPr>
                <w:sz w:val="18"/>
                <w:szCs w:val="18"/>
                <w:color w:val="auto"/>
              </w:rPr>
            </w:pPr>
          </w:p>
        </w:tc>
        <w:tc>
          <w:tcPr>
            <w:tcW w:w="234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$(10.5) – $(7.4)</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Earnings Conference Call</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FTC Solar’s senior management will host a conference call for members of the investment community at 8:30 a.m. E.T. today, during which the company will discuss its first quarter results, its outlook and other business items. This call will be webcast and can be accessed within the Investor Relations section of FTC Solar's website at https://investor.ftcsolar.com. A replay of the conference call will also be available on the website for 30 days following the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About FTC Solar Inc.</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Founded in 2017 by a group of renewable energy industry veterans, FTC Solar is a global provider of solar tracker systems, technology, software, and engineering services. Solar trackers significantly increase energy production at solar power installations by dynamically optimizing solar panel orientation to the sun. FTC Solar’s innovative tracker designs provide compelling performance and reliability, with an industry-leading installation cost-per-watt advantage.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 A reconciliation of the prior sequential quarter </w:t>
      </w:r>
      <w:r>
        <w:rPr>
          <w:rFonts w:ascii="Times New Roman" w:cs="Times New Roman" w:eastAsia="Times New Roman" w:hAnsi="Times New Roman"/>
          <w:sz w:val="14"/>
          <w:szCs w:val="14"/>
          <w:color w:val="auto"/>
        </w:rPr>
        <w:t>Non-GAAP financial measures to the nearest comparable GAAP</w:t>
      </w:r>
      <w:r>
        <w:rPr>
          <w:rFonts w:ascii="Times New Roman" w:cs="Times New Roman" w:eastAsia="Times New Roman" w:hAnsi="Times New Roman"/>
          <w:sz w:val="16"/>
          <w:szCs w:val="16"/>
          <w:color w:val="auto"/>
        </w:rPr>
        <w:t xml:space="preserve"> measures is shown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73"/>
        </w:trPr>
        <w:tc>
          <w:tcPr>
            <w:tcW w:w="6220" w:type="dxa"/>
            <w:vAlign w:val="bottom"/>
            <w:tcBorders>
              <w:bottom w:val="single" w:sz="8" w:color="auto"/>
            </w:tcBorders>
            <w:vMerge w:val="continue"/>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U.S. GAAP</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(36,390)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credit</w:t>
            </w: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Bargain purchase gain</w:t>
            </w: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CEO transition</w:t>
            </w: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Special stockholders' meeting</w:t>
            </w:r>
          </w:p>
        </w:tc>
        <w:tc>
          <w:tcPr>
            <w:tcW w:w="25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firstLine="8"/>
        <w:spacing w:after="0" w:line="268" w:lineRule="auto"/>
        <w:tabs>
          <w:tab w:leader="none" w:pos="16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‘backlog’ or ‘contracted and awarded’ refers to the combination of our executed contracts (contracted) and awarded orders (awarded), which are orders that have been documented and signed through a contract, where we are in the process of documenting a contract but for which a contract has not yet been signed, or that have been awarded in writing or verbally with a mutual understanding that the order will be contracted in the future. In the case of certain projects, including those that are scheduled for delivery on later dates, we have not locked in binding pricing with customers, and we instead use estimated average selling price to calculate the revenue included in our contracted and awarded orders for such projects. Actual revenue for these projects could differ once contracts with binding pricing are executed, and there is also a risk that a contract may never be executed for an awarded but uncontracted project, or that a contract may be executed for an awarded but uncontracted project at a date that is later than anticipated, or that a contract once executed may be subsequently amended, supplemented, rescinded, cancelled or breached, including in a manner that impacts the timing and amounts of payments due thereunder, thus reducing anticipated revenues. Please refer to our SEC filings, including our Form 10-K, for more information on our contracted and awarded orders, including risk factors.</w:t>
      </w:r>
    </w:p>
    <w:p>
      <w:pPr>
        <w:spacing w:after="0" w:line="81" w:lineRule="exact"/>
        <w:rPr>
          <w:rFonts w:ascii="Times New Roman" w:cs="Times New Roman" w:eastAsia="Times New Roman" w:hAnsi="Times New Roman"/>
          <w:sz w:val="16"/>
          <w:szCs w:val="16"/>
          <w:color w:val="auto"/>
        </w:rPr>
      </w:pPr>
    </w:p>
    <w:p>
      <w:pPr>
        <w:jc w:val="both"/>
        <w:ind w:firstLine="8"/>
        <w:spacing w:after="0" w:line="272" w:lineRule="auto"/>
        <w:tabs>
          <w:tab w:leader="none" w:pos="16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provide a quantitative reconciliation of our forward-looking Non-GAAP guidance measures to the most directly comparable GAAP financial measures because certain information needed to reconcile those measures is not available without unreasonable efforts due to the inherent difficulty in forecasting and quantifying these measures as a result of changes in project schedules by our customers that may occur, which are outside of our control, and the impact, if any, of credit loss provisions, asset impairment charges, restructuring or changes in the timing and level of indirect or overhead spending, as well as other matters, that could occur which could significantly impact the related GAAP financial measures.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press release contains forward looking statements. These statements are not historical facts but rather are based on our current expectations and projections regarding our business, operations and other factors relating thereto. Words such as “may,” “will,” “could,” “would,” “should,” “anticipate,” “predict,” “potential,” “continue,” “expects,” “intends,” “plans,” “projects,” “believes,” “estimates” and similar expressions are used to identify these forward-looking statements. These statements are only predictions and as such are not guarantees of future performance and involve risks, uncertainties and assumptions that are difficult to predict, including, without limitation, the risks and uncertainties described in more detail above and in our filings with the U.S. Securities and Exchange Commission, including the “Risk Factors” and “Management’s Discussion and Analysis of Financial Condition and Results of Operations” sections of our Annual Report on Form 10-K filed with the U.S. Securities and Exchange Commission (the “SEC”), our Quarterly Reports on Form 10-Q, and other documents, including Current Reports on Form 8-K, that we have filed, or will file, with the SEC. You should not rely on our forward-looking statements as predictions of future events, as actual results may differ materially from those in the forward-looking statements as a result of certain risks and uncertainties, including, without limitation, the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3" w:name="page34"/>
    <w:bookmarkEnd w:id="33"/>
    <w:p>
      <w:pPr>
        <w:jc w:val="both"/>
        <w:spacing w:after="0" w:line="245" w:lineRule="auto"/>
        <w:rPr>
          <w:sz w:val="20"/>
          <w:szCs w:val="20"/>
          <w:color w:val="auto"/>
        </w:rPr>
      </w:pPr>
      <w:r>
        <w:rPr>
          <w:rFonts w:ascii="Times New Roman" w:cs="Times New Roman" w:eastAsia="Times New Roman" w:hAnsi="Times New Roman"/>
          <w:sz w:val="20"/>
          <w:szCs w:val="20"/>
          <w:color w:val="auto"/>
        </w:rPr>
        <w:t>and uncertainties described in more detail above and in our filings with the SEC, including the “Risk Factors” and “Management’s Discussion and Analysis of Financial Condition and Results of Operations” sections of our Annual Report on Form 10-K filed with the SEC, our Quarterly Reports on Form 10-Q, and other documents, including Current Reports on Form 8-K, that we have filed, or will file, with the SEC. Any forward-looking statements in this release speak only as of the date on which they are made. FTC Solar undertakes no duty or obligation to update any forward-looking statements contained in this release as a result of new information, future events or changes in its expectations, except as required by law.</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FTC Solar 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Bill Michalek</w:t>
      </w:r>
    </w:p>
    <w:p>
      <w:pPr>
        <w:spacing w:after="0"/>
        <w:rPr>
          <w:sz w:val="20"/>
          <w:szCs w:val="20"/>
          <w:color w:val="auto"/>
        </w:rPr>
      </w:pPr>
      <w:r>
        <w:rPr>
          <w:rFonts w:ascii="Times New Roman" w:cs="Times New Roman" w:eastAsia="Times New Roman" w:hAnsi="Times New Roman"/>
          <w:sz w:val="20"/>
          <w:szCs w:val="20"/>
          <w:color w:val="231F20"/>
        </w:rPr>
        <w:t>Vice President, Investor Relations</w:t>
      </w:r>
    </w:p>
    <w:p>
      <w:pPr>
        <w:spacing w:after="0"/>
        <w:rPr>
          <w:sz w:val="20"/>
          <w:szCs w:val="20"/>
          <w:color w:val="auto"/>
        </w:rPr>
      </w:pPr>
      <w:r>
        <w:rPr>
          <w:rFonts w:ascii="Times New Roman" w:cs="Times New Roman" w:eastAsia="Times New Roman" w:hAnsi="Times New Roman"/>
          <w:sz w:val="20"/>
          <w:szCs w:val="20"/>
          <w:color w:val="231F20"/>
        </w:rPr>
        <w:t>FTC Solar</w:t>
      </w:r>
    </w:p>
    <w:p>
      <w:pPr>
        <w:spacing w:after="0"/>
        <w:rPr>
          <w:sz w:val="20"/>
          <w:szCs w:val="20"/>
          <w:color w:val="auto"/>
        </w:rPr>
      </w:pPr>
      <w:r>
        <w:rPr>
          <w:rFonts w:ascii="Times New Roman" w:cs="Times New Roman" w:eastAsia="Times New Roman" w:hAnsi="Times New Roman"/>
          <w:sz w:val="20"/>
          <w:szCs w:val="20"/>
          <w:color w:val="231F20"/>
        </w:rPr>
        <w:t>T: (737) 241-8618</w:t>
      </w:r>
    </w:p>
    <w:p>
      <w:pPr>
        <w:spacing w:after="0"/>
        <w:rPr>
          <w:sz w:val="20"/>
          <w:szCs w:val="20"/>
          <w:color w:val="auto"/>
        </w:rPr>
      </w:pPr>
      <w:r>
        <w:rPr>
          <w:rFonts w:ascii="Times New Roman" w:cs="Times New Roman" w:eastAsia="Times New Roman" w:hAnsi="Times New Roman"/>
          <w:sz w:val="20"/>
          <w:szCs w:val="20"/>
          <w:color w:val="231F20"/>
        </w:rPr>
        <w:t>E: IR@FTCSolar.com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4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3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Gross loss</w:t>
            </w:r>
          </w:p>
        </w:tc>
        <w:tc>
          <w:tcPr>
            <w:tcW w:w="4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(1,227)</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4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(12,058)</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(10,560)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(3,896)</w:t>
            </w: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Gain from disposal of investment in unconsolidated subsidiary</w:t>
            </w: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48,742</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unconsolidated subsidiary</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32,698</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196"/>
        </w:trPr>
        <w:tc>
          <w:tcPr>
            <w:tcW w:w="69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40"/>
        </w:trPr>
        <w:tc>
          <w:tcPr>
            <w:tcW w:w="6900" w:type="dxa"/>
            <w:vAlign w:val="bottom"/>
            <w:shd w:val="clear" w:color="auto" w:fill="CFF0FC"/>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500" w:type="dxa"/>
            <w:vAlign w:val="bottom"/>
            <w:shd w:val="clear" w:color="auto" w:fill="000000"/>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(0.72)</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4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15,568,299</w:t>
            </w:r>
          </w:p>
        </w:tc>
        <w:tc>
          <w:tcPr>
            <w:tcW w:w="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12,888,695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22,396,369</w:t>
            </w: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14,588,972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70"/>
        </w:trPr>
        <w:tc>
          <w:tcPr>
            <w:tcW w:w="6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-5194300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-5194300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-4636770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-4636770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-3796665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-3796665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-2682240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-2399665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-1833880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-1816735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-1533525</wp:posOffset>
            </wp:positionV>
            <wp:extent cx="6858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-908050</wp:posOffset>
            </wp:positionV>
            <wp:extent cx="6858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2540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$3,071 and $3,069 at March 31, 2026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8"/>
                <w:szCs w:val="18"/>
                <w:color w:val="auto"/>
              </w:rPr>
            </w:pPr>
          </w:p>
        </w:tc>
      </w:tr>
      <w:tr>
        <w:trPr>
          <w:trHeight w:val="209"/>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par value of $0.0001 per share, 10,000,000 shares authorized; none issued as of March 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 and December 31, 2025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par value of $0.0001 per share, 850,000,000 shares authorized; 15,818,330 and 15,537,344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Treasury stock, at cost; 1,076,257 shares as of March 31, 2026 and December 31, 2025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388,759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384,648</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(394,719)</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(427,318)</w:t>
            </w:r>
          </w:p>
        </w:tc>
      </w:tr>
      <w:tr>
        <w:trPr>
          <w:trHeight w:val="20"/>
        </w:trPr>
        <w:tc>
          <w:tcPr>
            <w:tcW w:w="78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(42,958)</w:t>
            </w:r>
          </w:p>
        </w:tc>
      </w:tr>
      <w:tr>
        <w:trPr>
          <w:trHeight w:val="250"/>
        </w:trPr>
        <w:tc>
          <w:tcPr>
            <w:tcW w:w="7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1"/>
        </w:trPr>
        <w:tc>
          <w:tcPr>
            <w:tcW w:w="7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-4825365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-4825365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-2579370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-1199515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-908050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-890905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FTC Solar,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8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32,599</w:t>
            </w:r>
          </w:p>
        </w:tc>
        <w:tc>
          <w:tcPr>
            <w:tcW w:w="26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(3,819)</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used in operating activities: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(48,742)</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Gain from sale of property and equipment</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Amortization of debt discount and issue costs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Paid-in-kind non-cash interest</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Provision for obsolete and slow-moving inventory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Loss from unconsolidated subsidiary</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from disposal of investment in unconsolidated subsidiary</w:t>
            </w:r>
          </w:p>
        </w:tc>
        <w:tc>
          <w:tcPr>
            <w:tcW w:w="34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Warranties issued and remediation added</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Warranty recoverable from manufacturer</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Credit loss provisions (credits)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expense</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Impact on cash from changes in operating assets and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(647)</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(4,437)</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(1,111)</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(1,635)</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(2,339)</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(396)</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payments and other, net</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(272)</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cash used in operations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(12,772)</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(8,483)</w:t>
            </w: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(276)</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Proceeds from disposal of investment in unconsolidated subsidiary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(276)</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Repayments of borrowings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(3,033)</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 offering costs paid</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Financing costs paid</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(2,419)</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(15,466)</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(5,338)</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1"/>
        </w:trPr>
        <w:tc>
          <w:tcPr>
            <w:tcW w:w="7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-3162300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-2365375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-1585595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-1310640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-1045210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Notes to Reconciliations of Non-GAAP Financial Measures to Nearest Comparable GAAP Measures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231F20"/>
        </w:rPr>
        <w:t>We utilize Adjusted EBITDA, Adjusted Net Loss, and Adjusted EPS as supplemental measures of our performance. We define Adjusted EBITDA as net income (loss) plus (i) provision for (benefit from) income taxes, (ii) interest expense, less interest income, (iii) depreciation expense, (iv) amortization expense, (v) stock-based compensation, (vi) loss from changes in the fair value of our warrant liability, and (vii) Chief Executive Officer ("CEO") transition costs, non-routine legal fees, costs associated with our reverse stock split, severance and certain other costs (credits). We also deduct (i) the contingent gains arising from earnout payments and project escrow releases relating to the disposal of our investment in an unconsolidated subsidiary, and (ii) gains from changes in the fair value of our warrant liability from net income or loss in arriving at Adjusted EBITDA. We define Adjusted Net Loss as net income (loss) plus (i) amortization of debt discount and issue costs and intangibles, (ii) stock-based compensation, (iii) loss from changes in the fair value of our warrant liability, (iv) CEO transition costs, non-routine legal fees, costs associated with our reverse stock split, severance and certain other costs (credits), and (v) the income tax expense (benefit) of those adjustments, if any. We also deduct (i) the contingent gains arising from earnout payments and project escrow releases relating to the disposal of our investment in an unconsolidated subsidiary, and (ii) gains from changes in the fair value of our warrant liability from net income (loss) in arriving at Adjusted Net Loss. Adjusted EPS is defined as Adjusted Net Loss on a per share basis using our weighted average diluted shares outstanding.</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 xml:space="preserve">Non-GAAP gross profit (loss), Non-GAAP operating expense, </w:t>
      </w:r>
      <w:r>
        <w:rPr>
          <w:rFonts w:ascii="Times New Roman" w:cs="Times New Roman" w:eastAsia="Times New Roman" w:hAnsi="Times New Roman"/>
          <w:sz w:val="20"/>
          <w:szCs w:val="20"/>
          <w:color w:val="000000"/>
        </w:rPr>
        <w:t>Adjusted EBITDA, Adjusted Net Loss and Adjusted EPS are intended as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supplemental measures of performance that are neither required by, nor presented in accordance with, U.S. generally accepted accounting principles (“GAAP”). We present these Non-GAAP measures, many of which are commonly used by investors and analysts, because we believe they assist those investors and analysts in comparing our performance across reporting periods on an ongoing basis by excluding items that we do not believe are indicative of our core operating performance. In addition, we use Adjusted EBITDA, Adjusted Net Loss and Adjusted EPS to evaluate the effectiveness of our business strategies.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Non-GAAP gross profit (loss), Non-GAAP operating expense, Adjusted EBITDA, Adjusted Net Loss and Adjusted EPS should not be considered in isolation or as substitutes for performance measures calculated in accordance with GAAP, and you should not rely on any single financial measure to evaluate our business. These Non-GAAP financial measures, when presented, are reconciled to the most closely applicable GAAP measure as disclosed below.</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31F20"/>
        </w:rPr>
        <w:t>The following table reconciles Non-GAAP gross loss to the most closely related GAAP measure for the three months ended March 31, 2026 and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revenue</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740" w:type="dxa"/>
            <w:vAlign w:val="bottom"/>
            <w:shd w:val="clear" w:color="auto" w:fill="CFF0FC"/>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460" w:type="dxa"/>
            <w:vAlign w:val="bottom"/>
            <w:shd w:val="clear" w:color="auto" w:fill="000000"/>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 gross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(1,227)</w:t>
            </w:r>
          </w:p>
        </w:tc>
        <w:tc>
          <w:tcPr>
            <w:tcW w:w="880" w:type="dxa"/>
            <w:vAlign w:val="bottom"/>
            <w:gridSpan w:val="2"/>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Severance costs</w:t>
            </w:r>
          </w:p>
        </w:tc>
        <w:tc>
          <w:tcPr>
            <w:tcW w:w="4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gross loss</w:t>
            </w: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Non-GAAP gross margin percentage</w:t>
            </w:r>
          </w:p>
        </w:tc>
        <w:tc>
          <w:tcPr>
            <w:tcW w:w="440" w:type="dxa"/>
            <w:vAlign w:val="bottom"/>
          </w:tcPr>
          <w:p>
            <w:pPr>
              <w:spacing w:after="0"/>
              <w:rPr>
                <w:sz w:val="18"/>
                <w:szCs w:val="18"/>
                <w:color w:val="auto"/>
              </w:rPr>
            </w:pPr>
          </w:p>
        </w:tc>
        <w:tc>
          <w:tcPr>
            <w:tcW w:w="18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370"/>
        </w:trPr>
        <w:tc>
          <w:tcPr>
            <w:tcW w:w="6740" w:type="dxa"/>
            <w:vAlign w:val="bottom"/>
            <w:tcBorders>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-1928495</wp:posOffset>
            </wp:positionV>
            <wp:extent cx="145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415" cy="2603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-1928495</wp:posOffset>
            </wp:positionV>
            <wp:extent cx="1454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415" cy="2603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-1071245</wp:posOffset>
            </wp:positionV>
            <wp:extent cx="1454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-1053465</wp:posOffset>
            </wp:positionV>
            <wp:extent cx="1454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-1216660</wp:posOffset>
            </wp:positionV>
            <wp:extent cx="1454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-1071245</wp:posOffset>
            </wp:positionV>
            <wp:extent cx="1454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-1216660</wp:posOffset>
            </wp:positionV>
            <wp:extent cx="1454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38" w:name="page39"/>
    <w:bookmarkEnd w:id="38"/>
    <w:p>
      <w:pPr>
        <w:ind w:right="20"/>
        <w:spacing w:after="0" w:line="269" w:lineRule="auto"/>
        <w:rPr>
          <w:sz w:val="20"/>
          <w:szCs w:val="20"/>
          <w:color w:val="auto"/>
        </w:rPr>
      </w:pPr>
      <w:r>
        <w:rPr>
          <w:rFonts w:ascii="Times New Roman" w:cs="Times New Roman" w:eastAsia="Times New Roman" w:hAnsi="Times New Roman"/>
          <w:sz w:val="20"/>
          <w:szCs w:val="20"/>
          <w:color w:val="231F20"/>
        </w:rPr>
        <w:t>The following table reconciles Non-GAAP operating expenses to the most closely related GAAP measure for the three months ended March 31, 2026 and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operating expenses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(2,692)</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 transition</w:t>
            </w:r>
          </w:p>
        </w:tc>
        <w:tc>
          <w:tcPr>
            <w:tcW w:w="4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w:t>
            </w: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Reverse stock split</w:t>
            </w:r>
          </w:p>
        </w:tc>
        <w:tc>
          <w:tcPr>
            <w:tcW w:w="4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Severance costs</w:t>
            </w: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50"/>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31F20"/>
        </w:rPr>
        <w:t>The following table reconciles Non-GAAP Adjusted EBITDA to the related GAAP measure of loss from operations for the three months ended March 31, 2026 and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auto"/>
            </w:tcBorders>
            <w:vMerge w:val="continue"/>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loss from operations</w:t>
            </w:r>
          </w:p>
        </w:tc>
        <w:tc>
          <w:tcPr>
            <w:tcW w:w="2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(12,058)</w:t>
            </w:r>
          </w:p>
        </w:tc>
        <w:tc>
          <w:tcPr>
            <w:tcW w:w="96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(10,560)</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2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CEO transition</w:t>
            </w:r>
          </w:p>
        </w:tc>
        <w:tc>
          <w:tcPr>
            <w:tcW w:w="2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Reverse stock split</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Severance costs</w:t>
            </w:r>
          </w:p>
        </w:tc>
        <w:tc>
          <w:tcPr>
            <w:tcW w:w="2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from unconsolidated subsidiary</w:t>
            </w:r>
          </w:p>
        </w:tc>
        <w:tc>
          <w:tcPr>
            <w:tcW w:w="2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(8,220)</w:t>
            </w:r>
          </w:p>
        </w:tc>
        <w:tc>
          <w:tcPr>
            <w:tcW w:w="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1"/>
        </w:trPr>
        <w:tc>
          <w:tcPr>
            <w:tcW w:w="48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-1053465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line="269" w:lineRule="auto"/>
        <w:rPr>
          <w:sz w:val="20"/>
          <w:szCs w:val="20"/>
          <w:color w:val="auto"/>
        </w:rPr>
      </w:pPr>
      <w:r>
        <w:rPr>
          <w:rFonts w:ascii="Times New Roman" w:cs="Times New Roman" w:eastAsia="Times New Roman" w:hAnsi="Times New Roman"/>
          <w:sz w:val="20"/>
          <w:szCs w:val="20"/>
          <w:color w:val="231F20"/>
        </w:rPr>
        <w:t>The following table reconciles Non-GAAP Adjusted EBITDA and Adjusted Net Loss to the related GAAP measure of net income (loss) for the three months ended March 31, 2026 and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U.S. GAAP</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2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(3,819)</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debt discount and issue costs in 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Gain from disposal of investment in unconsolidated subsidiary</w:t>
            </w:r>
            <w:r>
              <w:rPr>
                <w:rFonts w:ascii="Times New Roman" w:cs="Times New Roman" w:eastAsia="Times New Roman" w:hAnsi="Times New Roman"/>
                <w:sz w:val="24"/>
                <w:szCs w:val="24"/>
                <w:color w:val="auto"/>
                <w:vertAlign w:val="superscript"/>
              </w:rPr>
              <w: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Gain from change in fair value of warrant liability</w:t>
            </w:r>
            <w:r>
              <w:rPr>
                <w:rFonts w:ascii="Times New Roman" w:cs="Times New Roman" w:eastAsia="Times New Roman" w:hAnsi="Times New Roman"/>
                <w:sz w:val="24"/>
                <w:szCs w:val="24"/>
                <w:color w:val="auto"/>
                <w:vertAlign w:val="superscript"/>
              </w:rPr>
              <w:t>(b)</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(48,742)</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(48,742)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(4,604)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CEO transition</w:t>
            </w:r>
            <w:r>
              <w:rPr>
                <w:rFonts w:ascii="Times New Roman" w:cs="Times New Roman" w:eastAsia="Times New Roman" w:hAnsi="Times New Roman"/>
                <w:sz w:val="24"/>
                <w:szCs w:val="24"/>
                <w:color w:val="auto"/>
                <w:vertAlign w:val="superscript"/>
              </w:rPr>
              <w:t>(c)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Reverse stock split</w:t>
            </w:r>
            <w:r>
              <w:rPr>
                <w:rFonts w:ascii="Times New Roman" w:cs="Times New Roman" w:eastAsia="Times New Roman" w:hAnsi="Times New Roman"/>
                <w:sz w:val="24"/>
                <w:szCs w:val="24"/>
                <w:color w:val="auto"/>
                <w:vertAlign w:val="superscript"/>
              </w:rPr>
              <w:t>(d)</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Severance costs</w:t>
            </w:r>
            <w:r>
              <w:rPr>
                <w:rFonts w:ascii="Times New Roman" w:cs="Times New Roman" w:eastAsia="Times New Roman" w:hAnsi="Times New Roman"/>
                <w:sz w:val="24"/>
                <w:szCs w:val="24"/>
                <w:color w:val="auto"/>
                <w:vertAlign w:val="superscript"/>
              </w:rPr>
              <w: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amounts</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(9,750)</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net loss per share (Adjusted EPS):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15,568,299</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12,888,695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-899160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-882015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-1045210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-899160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-882015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-1045210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-899160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-882015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-1045210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06" w:lineRule="exact"/>
        <w:rPr>
          <w:sz w:val="20"/>
          <w:szCs w:val="20"/>
          <w:color w:val="auto"/>
        </w:rPr>
      </w:pPr>
    </w:p>
    <w:p>
      <w:pPr>
        <w:ind w:left="340" w:right="20" w:hanging="332"/>
        <w:spacing w:after="0" w:line="233"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gain from collections of contingent contractual amounts arising from the sale in 2021 of our investment in an unconsolidated subsidiary as these amounts are not considered part of our normal ongoing operations. The payment received in 2025 was the final contingent payment owed.</w:t>
      </w:r>
    </w:p>
    <w:p>
      <w:pPr>
        <w:ind w:left="340" w:hanging="332"/>
        <w:spacing w:after="0" w:line="221"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non-cash changes in the fair value of our outstanding warrants as we do not consider such changes to impact or reflect changes in our core operating performance.</w:t>
      </w:r>
    </w:p>
    <w:p>
      <w:pPr>
        <w:jc w:val="both"/>
        <w:ind w:left="340" w:right="20" w:hanging="332"/>
        <w:spacing w:after="0" w:line="221"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hiring a new CEO in August 2024, we agreed to upfront and incremental sign-on bonuses (collectively, the "sign-on bonuses"), a portion of which was paid to our CEO in 2024 and 2025, with clawback provisions until 2026, and a portion of which will be paid during 2026, all contingent upon continued employment. These sign-on bonuses are being expensed over the applicable service periods. We do not view these sign-on bonuses as being part of the normal ongoing compensation arrangements for our CEO.</w:t>
      </w:r>
    </w:p>
    <w:p>
      <w:pPr>
        <w:ind w:left="340" w:right="20" w:hanging="332"/>
        <w:spacing w:after="0" w:line="221"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incurred certain professional fees in 2025 to finalize various administrative tasks associated with the Reverse Stock Split that was consummated effective November 29, 2024. We do not consider these fees to be part of our normal ongoing operations.</w:t>
      </w:r>
    </w:p>
    <w:p>
      <w:pPr>
        <w:ind w:left="340" w:right="160" w:hanging="332"/>
        <w:spacing w:after="0" w:line="239"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costs were incurred during 2025, due to restructuring changes that involuntarily impacted a number of employees, in order to adjust our operations to reflect current market and activity levels and to take advantage of process efficiencies gained.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lvl w:ilvl="1">
      <w:lvlJc w:val="left"/>
      <w:lvlText w:val="(%2)"/>
      <w:numFmt w:val="lowerRoman"/>
      <w:start w:val="4"/>
    </w:lvl>
  </w:abstractNum>
  <w:abstractNum w:abstractNumId="3">
    <w:nsid w:val="8EDBDAB"/>
    <w:multiLevelType w:val="hybridMultilevel"/>
    <w:lvl w:ilvl="0">
      <w:lvlJc w:val="left"/>
      <w:lvlText w:val="%1."/>
      <w:numFmt w:val="decimal"/>
      <w:start w:val="1"/>
    </w:lvl>
    <w:lvl w:ilvl="1">
      <w:lvlJc w:val="left"/>
      <w:lvlText w:val="(%2)"/>
      <w:numFmt w:val="lowerLetter"/>
      <w:start w:val="1"/>
    </w:lvl>
  </w:abstractNum>
  <w:abstractNum w:abstractNumId="4">
    <w:nsid w:val="79838CB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
    <w:nsid w:val="4353D0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B03E0C6"/>
    <w:multiLevelType w:val="hybridMultilevel"/>
    <w:lvl w:ilvl="0">
      <w:lvlJc w:val="left"/>
      <w:lvlText w:val="%1"/>
      <w:numFmt w:val="lowerLetter"/>
      <w:start w:val="1"/>
    </w:lvl>
    <w:lvl w:ilvl="1">
      <w:lvlJc w:val="left"/>
      <w:lvlText w:val="(%2)"/>
      <w:numFmt w:val="lowerLetter"/>
      <w:start w:val="61"/>
    </w:lvl>
  </w:abstractNum>
  <w:abstractNum w:abstractNumId="7">
    <w:nsid w:val="189A769B"/>
    <w:multiLevelType w:val="hybridMultilevel"/>
    <w:lvl w:ilvl="0">
      <w:lvlJc w:val="left"/>
      <w:lvlText w:val="(%1)"/>
      <w:numFmt w:val="lowerLetter"/>
      <w:start w:val="2"/>
    </w:lvl>
    <w:lvl w:ilvl="1">
      <w:lvlJc w:val="left"/>
      <w:lvlText w:val="(%2)"/>
      <w:numFmt w:val="lowerLetter"/>
      <w:start w:val="9"/>
    </w:lvl>
  </w:abstractNum>
  <w:abstractNum w:abstractNumId="8">
    <w:nsid w:val="54E49EB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
    <w:nsid w:val="71F324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2CA88611"/>
    <w:multiLevelType w:val="hybridMultilevel"/>
    <w:lvl w:ilvl="0">
      <w:lvlJc w:val="left"/>
      <w:lvlText w:val="%1"/>
      <w:numFmt w:val="decimal"/>
      <w:start w:val="1"/>
    </w:lvl>
    <w:lvl w:ilvl="1">
      <w:lvlJc w:val="left"/>
      <w:lvlText w:val="(%2)"/>
      <w:numFmt w:val="lowerLetter"/>
      <w:start w:val="2"/>
    </w:lvl>
  </w:abstractNum>
  <w:abstractNum w:abstractNumId="11">
    <w:nsid w:val="836C40E"/>
    <w:multiLevelType w:val="hybridMultilevel"/>
    <w:lvl w:ilvl="0">
      <w:lvlJc w:val="left"/>
      <w:lvlText w:val="%1."/>
      <w:numFmt w:val="decimal"/>
      <w:start w:val="5"/>
    </w:lvl>
    <w:lvl w:ilvl="1">
      <w:lvlJc w:val="left"/>
      <w:lvlText w:val="(%2)"/>
      <w:numFmt w:val="lowerLetter"/>
      <w:start w:val="1"/>
    </w:lvl>
  </w:abstractNum>
  <w:abstractNum w:abstractNumId="12">
    <w:nsid w:val="2901D82"/>
    <w:multiLevelType w:val="hybridMultilevel"/>
    <w:lvl w:ilvl="0">
      <w:lvlJc w:val="left"/>
      <w:lvlText w:val="(%1)"/>
      <w:numFmt w:val="lowerLetter"/>
      <w:start w:val="2"/>
    </w:lvl>
    <w:lvl w:ilvl="1">
      <w:lvlJc w:val="left"/>
      <w:lvlText w:val="(%2)"/>
      <w:numFmt w:val="lowerRoman"/>
      <w:start w:val="1"/>
    </w:lvl>
  </w:abstractNum>
  <w:abstractNum w:abstractNumId="13">
    <w:nsid w:val="3A95F874"/>
    <w:multiLevelType w:val="hybridMultilevel"/>
    <w:lvl w:ilvl="0">
      <w:lvlJc w:val="left"/>
      <w:lvlText w:val="%1"/>
      <w:numFmt w:val="lowerLetter"/>
      <w:start w:val="1"/>
    </w:lvl>
    <w:lvl w:ilvl="1">
      <w:lvlJc w:val="left"/>
      <w:lvlText w:val="(%2)"/>
      <w:numFmt w:val="lowerLetter"/>
      <w:start w:val="22"/>
    </w:lvl>
  </w:abstractNum>
  <w:abstractNum w:abstractNumId="14">
    <w:nsid w:val="8138641"/>
    <w:multiLevelType w:val="hybridMultilevel"/>
    <w:lvl w:ilvl="0">
      <w:lvlJc w:val="left"/>
      <w:lvlText w:val="(%1)"/>
      <w:numFmt w:val="lowerLetter"/>
      <w:start w:val="3"/>
    </w:lvl>
    <w:lvl w:ilvl="1">
      <w:lvlJc w:val="left"/>
      <w:lvlText w:val="(%2)"/>
      <w:numFmt w:val="lowerLetter"/>
      <w:start w:val="9"/>
    </w:lvl>
  </w:abstractNum>
  <w:abstractNum w:abstractNumId="15">
    <w:nsid w:val="1E7FF521"/>
    <w:multiLevelType w:val="hybridMultilevel"/>
    <w:lvl w:ilvl="0">
      <w:lvlJc w:val="left"/>
      <w:lvlText w:val="(%1)"/>
      <w:numFmt w:val="lowerRoman"/>
      <w:start w:val="2"/>
    </w:lvl>
  </w:abstractNum>
  <w:abstractNum w:abstractNumId="16">
    <w:nsid w:val="7C3DBD3D"/>
    <w:multiLevelType w:val="hybridMultilevel"/>
    <w:lvl w:ilvl="0">
      <w:lvlJc w:val="left"/>
      <w:lvlText w:val="%1"/>
      <w:numFmt w:val="lowerLetter"/>
      <w:start w:val="1"/>
    </w:lvl>
    <w:lvl w:ilvl="1">
      <w:lvlJc w:val="left"/>
      <w:lvlText w:val="(%2)"/>
      <w:numFmt w:val="lowerRoman"/>
      <w:start w:val="4"/>
    </w:lvl>
  </w:abstractNum>
  <w:abstractNum w:abstractNumId="17">
    <w:nsid w:val="737B8DDC"/>
    <w:multiLevelType w:val="hybridMultilevel"/>
    <w:lvl w:ilvl="0">
      <w:lvlJc w:val="left"/>
      <w:lvlText w:val="(%1)"/>
      <w:numFmt w:val="lowerLetter"/>
      <w:start w:val="4"/>
    </w:lvl>
    <w:lvl w:ilvl="1">
      <w:lvlJc w:val="left"/>
      <w:lvlText w:val="(%2)"/>
      <w:numFmt w:val="lowerRoman"/>
      <w:start w:val="1"/>
    </w:lvl>
  </w:abstractNum>
  <w:abstractNum w:abstractNumId="18">
    <w:nsid w:val="6CEAF087"/>
    <w:multiLevelType w:val="hybridMultilevel"/>
    <w:lvl w:ilvl="0">
      <w:lvlJc w:val="left"/>
      <w:lvlText w:val="(%1)"/>
      <w:numFmt w:val="lowerRoman"/>
      <w:start w:val="3"/>
    </w:lvl>
  </w:abstractNum>
  <w:abstractNum w:abstractNumId="19">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0">
    <w:nsid w:val="4516DD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3006C83E"/>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2"/>
    </w:lvl>
  </w:abstractNum>
  <w:abstractNum w:abstractNumId="22">
    <w:nsid w:val="614FD4A1"/>
    <w:multiLevelType w:val="hybridMultilevel"/>
    <w:lvl w:ilvl="0">
      <w:lvlJc w:val="left"/>
      <w:lvlText w:val="(%1)"/>
      <w:numFmt w:val="lowerRoman"/>
      <w:start w:val="2"/>
    </w:lvl>
  </w:abstractNum>
  <w:abstractNum w:abstractNumId="23">
    <w:nsid w:val="419AC241"/>
    <w:multiLevelType w:val="hybridMultilevel"/>
    <w:lvl w:ilvl="0">
      <w:lvlJc w:val="left"/>
      <w:lvlText w:val="(%1)"/>
      <w:numFmt w:val="lowerLetter"/>
      <w:start w:val="4"/>
    </w:lvl>
  </w:abstractNum>
  <w:abstractNum w:abstractNumId="24">
    <w:nsid w:val="5577F8E1"/>
    <w:multiLevelType w:val="hybridMultilevel"/>
    <w:lvl w:ilvl="0">
      <w:lvlJc w:val="left"/>
      <w:lvlText w:val="(%1)"/>
      <w:numFmt w:val="lowerLetter"/>
      <w:start w:val="7"/>
    </w:lvl>
  </w:abstractNum>
  <w:abstractNum w:abstractNumId="25">
    <w:nsid w:val="440BADFC"/>
    <w:multiLevelType w:val="hybridMultilevel"/>
    <w:lvl w:ilvl="0">
      <w:lvlJc w:val="left"/>
      <w:lvlText w:val="%1."/>
      <w:numFmt w:val="decimal"/>
      <w:start w:val="7"/>
    </w:lvl>
    <w:lvl w:ilvl="1">
      <w:lvlJc w:val="left"/>
      <w:lvlText w:val="(%2)"/>
      <w:numFmt w:val="lowerLetter"/>
      <w:start w:val="1"/>
    </w:lvl>
  </w:abstractNum>
  <w:abstractNum w:abstractNumId="26">
    <w:nsid w:val="5072367"/>
    <w:multiLevelType w:val="hybridMultilevel"/>
    <w:lvl w:ilvl="0">
      <w:lvlJc w:val="left"/>
      <w:lvlText w:val="%1"/>
      <w:numFmt w:val="decimal"/>
      <w:start w:val="1"/>
    </w:lvl>
    <w:lvl w:ilvl="1">
      <w:lvlJc w:val="left"/>
      <w:lvlText w:val="(%2)"/>
      <w:numFmt w:val="lowerLetter"/>
      <w:start w:val="4"/>
    </w:lvl>
  </w:abstractNum>
  <w:abstractNum w:abstractNumId="27">
    <w:nsid w:val="3804823E"/>
    <w:multiLevelType w:val="hybridMultilevel"/>
    <w:lvl w:ilvl="0">
      <w:lvlJc w:val="left"/>
      <w:lvlText w:val="%1."/>
      <w:numFmt w:val="decimal"/>
      <w:start w:val="9"/>
    </w:lvl>
    <w:lvl w:ilvl="1">
      <w:lvlJc w:val="left"/>
      <w:lvlText w:val="(%2)"/>
      <w:numFmt w:val="lowerLetter"/>
      <w:start w:val="1"/>
    </w:lvl>
  </w:abstractNum>
  <w:abstractNum w:abstractNumId="28">
    <w:nsid w:val="77465F01"/>
    <w:multiLevelType w:val="hybridMultilevel"/>
    <w:lvl w:ilvl="0">
      <w:lvlJc w:val="left"/>
      <w:lvlText w:val="(%1)"/>
      <w:numFmt w:val="lowerLetter"/>
      <w:start w:val="2"/>
    </w:lvl>
  </w:abstractNum>
  <w:abstractNum w:abstractNumId="29">
    <w:nsid w:val="7724C67E"/>
    <w:multiLevelType w:val="hybridMultilevel"/>
    <w:lvl w:ilvl="0">
      <w:lvlJc w:val="left"/>
      <w:lvlText w:val="(%1)"/>
      <w:numFmt w:val="lowerLetter"/>
      <w:start w:val="3"/>
    </w:lvl>
  </w:abstractNum>
  <w:abstractNum w:abstractNumId="30">
    <w:nsid w:val="5C482A97"/>
    <w:multiLevelType w:val="hybridMultilevel"/>
    <w:lvl w:ilvl="0">
      <w:lvlJc w:val="left"/>
      <w:lvlText w:val="(%1)"/>
      <w:numFmt w:val="lowerLetter"/>
      <w:start w:val="11"/>
    </w:lvl>
  </w:abstractNum>
  <w:abstractNum w:abstractNumId="31">
    <w:nsid w:val="2463B9EA"/>
    <w:multiLevelType w:val="hybridMultilevel"/>
    <w:lvl w:ilvl="0">
      <w:lvlJc w:val="left"/>
      <w:lvlText w:val="(%1)"/>
      <w:numFmt w:val="lowerLetter"/>
      <w:start w:val="12"/>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upperLetter"/>
      <w:start w:val="1"/>
    </w:lvl>
    <w:lvl w:ilvl="1">
      <w:lvlJc w:val="left"/>
      <w:lvlText w:val="(%2)"/>
      <w:numFmt w:val="lowerLetter"/>
      <w:start w:val="1"/>
    </w:lvl>
  </w:abstractNum>
  <w:abstractNum w:abstractNumId="34">
    <w:nsid w:val="2D517796"/>
    <w:multiLevelType w:val="hybridMultilevel"/>
    <w:lvl w:ilvl="0">
      <w:lvlJc w:val="left"/>
      <w:lvlText w:val="(%1)"/>
      <w:numFmt w:val="upperLetter"/>
      <w:start w:val="2"/>
    </w:lvl>
    <w:lvl w:ilvl="1">
      <w:lvlJc w:val="left"/>
      <w:lvlText w:val="%2"/>
      <w:numFmt w:val="lowerLetter"/>
      <w:start w:val="1"/>
    </w:lvl>
  </w:abstractNum>
  <w:abstractNum w:abstractNumId="35">
    <w:nsid w:val="580BD78F"/>
    <w:multiLevelType w:val="hybridMultilevel"/>
    <w:lvl w:ilvl="0">
      <w:lvlJc w:val="left"/>
      <w:lvlText w:val="%1"/>
      <w:numFmt w:val="lowerLetter"/>
      <w:start w:val="1"/>
    </w:lvl>
    <w:lvl w:ilvl="1">
      <w:lvlJc w:val="left"/>
      <w:lvlText w:val="(%2)"/>
      <w:numFmt w:val="lowerLetter"/>
      <w:start w:val="2"/>
    </w:lvl>
  </w:abstractNum>
  <w:abstractNum w:abstractNumId="36">
    <w:nsid w:val="153EA438"/>
    <w:multiLevelType w:val="hybridMultilevel"/>
    <w:lvl w:ilvl="0">
      <w:lvlJc w:val="left"/>
      <w:lvlText w:val="(%1)"/>
      <w:numFmt w:val="lowerLetter"/>
      <w:start w:val="61"/>
    </w:lvl>
    <w:lvl w:ilvl="1">
      <w:lvlJc w:val="left"/>
      <w:lvlText w:val="(%2)"/>
      <w:numFmt w:val="lowerLetter"/>
      <w:start w:val="3"/>
    </w:lvl>
  </w:abstractNum>
  <w:abstractNum w:abstractNumId="37">
    <w:nsid w:val="3855585C"/>
    <w:multiLevelType w:val="hybridMultilevel"/>
    <w:lvl w:ilvl="0">
      <w:lvlJc w:val="left"/>
      <w:lvlText w:val="%1."/>
      <w:numFmt w:val="decimal"/>
      <w:start w:val="2"/>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2"/>
    </w:lvl>
  </w:abstractNum>
  <w:abstractNum w:abstractNumId="39">
    <w:nsid w:val="6A2342EC"/>
    <w:multiLevelType w:val="hybridMultilevel"/>
    <w:lvl w:ilvl="0">
      <w:lvlJc w:val="left"/>
      <w:lvlText w:val="%1."/>
      <w:numFmt w:val="decimal"/>
      <w:start w:val="3"/>
    </w:lvl>
    <w:lvl w:ilvl="1">
      <w:lvlJc w:val="left"/>
      <w:lvlText w:val="%2"/>
      <w:numFmt w:val="lowerLetter"/>
      <w:start w:val="1"/>
    </w:lvl>
  </w:abstractNum>
  <w:abstractNum w:abstractNumId="40">
    <w:nsid w:val="2A487CB0"/>
    <w:multiLevelType w:val="hybridMultilevel"/>
    <w:lvl w:ilvl="0">
      <w:lvlJc w:val="left"/>
      <w:lvlText w:val="%1."/>
      <w:numFmt w:val="decimal"/>
      <w:start w:val="8"/>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2"/>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2026-05-05T05:41:35Z</dcterms:created>
  <dcterms:modified xsi:type="dcterms:W3CDTF">2026-05-05T05:41:35Z</dcterms:modified>
</cp:coreProperties>
</file>