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Carroll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10900 STONELAKE BLVD.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 QUARRY OAKS II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FTC Solar, Inc.</w:t>
              </w:r>
            </w:hyperlink>
            <w:r>
              <w:rPr/>
              <w:t xml:space="preserve"> [ </w:t>
            </w:r>
            <w:r>
              <w:rPr>
                <w:rFonts w:ascii="Times;serif" w:hAnsi="Times;serif"/>
                <w:color w:val="0000FF"/>
                <w:sz w:val="24"/>
                <w:shd w:fill="FFFFFF" w:val="clear"/>
              </w:rPr>
              <w:t>FTCI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24,745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666,200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weighted average purchase price per share for these shares, which were purchased in multiple transactions at prices ranging from $2.020 to $2.120. The Reporting Person undertakes to provide to the Issuer, the staff of the Commission or any security holder of the Issuer, upon request, full information regarding the number of shares purchased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Cathy Behnen,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0820" TargetMode="External"/><Relationship Id="rId5" Type="http://schemas.openxmlformats.org/officeDocument/2006/relationships/hyperlink" Target="http://www.sec.gov/cgi-bin/browse-edgar?action=getcompany&amp;CIK=00018281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3434</Characters>
  <CharactersWithSpaces>3997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