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SADASIVAM SHAKER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10900 STONELAKE BLVD.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 QUARRY OAKS II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FTC Solar, Inc.</w:t>
              </w:r>
            </w:hyperlink>
            <w:r>
              <w:rPr/>
              <w:t xml:space="preserve"> [ </w:t>
            </w:r>
            <w:r>
              <w:rPr>
                <w:rFonts w:ascii="Times;serif" w:hAnsi="Times;serif"/>
                <w:color w:val="0000FF"/>
                <w:sz w:val="24"/>
                <w:shd w:fill="FFFFFF" w:val="clear"/>
              </w:rPr>
              <w:t>FTCI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4"/>
        <w:gridCol w:w="905"/>
        <w:gridCol w:w="775"/>
        <w:gridCol w:w="601"/>
        <w:gridCol w:w="345"/>
        <w:gridCol w:w="923"/>
        <w:gridCol w:w="445"/>
        <w:gridCol w:w="707"/>
        <w:gridCol w:w="1148"/>
        <w:gridCol w:w="987"/>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33,290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w:t>
            </w:r>
            <w:r>
              <w:rPr>
                <w:rFonts w:ascii="Times;serif" w:hAnsi="Times;serif"/>
                <w:color w:val="008000"/>
                <w:position w:val="7"/>
                <w:sz w:val="16"/>
                <w:sz w:val="20"/>
                <w:shd w:fill="FFFFFF" w:val="clear"/>
              </w:rPr>
              <w:t>(1)</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114,798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301,710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liability company</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weighted average purchase price per share for these shares, which were purchased in multiple transactions at prices ranging from $2.130 to $2.290. The Reporting Person undertakes to provide to the Issuer, the staff of the Commission or any security holder of the Issuer, upon request,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Manager of ChristSivam, LLC and has sole voting and dispositive power with respect to the shares held by ChristSivam, LLC.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Cathy Behnen,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432" TargetMode="External"/><Relationship Id="rId5" Type="http://schemas.openxmlformats.org/officeDocument/2006/relationships/hyperlink" Target="http://www.sec.gov/cgi-bin/browse-edgar?action=getcompany&amp;CIK=00018281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3818</Characters>
  <CharactersWithSpaces>4453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