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tci-20261008.htm"/>
      <w:bookmarkStart w:id="1" w:name="ksftci20261008"/>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FTC Solar,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736" w:type="dxa"/>
        <w:jc w:val="left"/>
        <w:tblInd w:w="0" w:type="dxa"/>
        <w:tblLayout w:type="fixed"/>
        <w:tblCellMar>
          <w:top w:w="28" w:type="dxa"/>
          <w:left w:w="28" w:type="dxa"/>
          <w:bottom w:w="28" w:type="dxa"/>
          <w:right w:w="28" w:type="dxa"/>
        </w:tblCellMar>
      </w:tblPr>
      <w:tblGrid>
        <w:gridCol w:w="1059"/>
        <w:gridCol w:w="964"/>
        <w:gridCol w:w="970"/>
        <w:gridCol w:w="239"/>
        <w:gridCol w:w="3022"/>
        <w:gridCol w:w="146"/>
        <w:gridCol w:w="1336"/>
      </w:tblGrid>
      <w:tr>
        <w:trPr/>
        <w:tc>
          <w:tcPr>
            <w:tcW w:w="10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93" w:type="dxa"/>
            <w:gridSpan w:val="3"/>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Delaware</w:t>
            </w:r>
          </w:p>
        </w:tc>
        <w:tc>
          <w:tcPr>
            <w:tcW w:w="239" w:type="dxa"/>
            <w:tcBorders>
              <w:bottom w:val="single" w:sz="4" w:space="0" w:color="000000"/>
            </w:tcBorders>
            <w:tcMar>
              <w:top w:w="0" w:type="dxa"/>
              <w:left w:w="0" w:type="dxa"/>
              <w:right w:w="0" w:type="dxa"/>
            </w:tcMar>
            <w:vAlign w:val="center"/>
          </w:tcPr>
          <w:p>
            <w:pPr>
              <w:pStyle w:val="TableContents"/>
              <w:bidi w:val="0"/>
              <w:spacing w:before="120" w:after="283"/>
              <w:jc w:val="center"/>
              <w:rPr/>
            </w:pPr>
            <w:r>
              <w:rPr/>
              <w:t> </w:t>
            </w:r>
          </w:p>
        </w:tc>
        <w:tc>
          <w:tcPr>
            <w:tcW w:w="3022"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001-40350</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center"/>
              <w:rPr/>
            </w:pPr>
            <w:r>
              <w:rPr/>
              <w:t> </w:t>
            </w:r>
          </w:p>
        </w:tc>
        <w:tc>
          <w:tcPr>
            <w:tcW w:w="1336"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81-4816270</w:t>
            </w:r>
          </w:p>
        </w:tc>
      </w:tr>
      <w:tr>
        <w:trPr/>
        <w:tc>
          <w:tcPr>
            <w:tcW w:w="299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2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54"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10900 Stonelake Blvd, Suite 100, Quarry Oaks II Building, Austin, Texas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78759</w:t>
            </w:r>
          </w:p>
        </w:tc>
      </w:tr>
      <w:tr>
        <w:trPr/>
        <w:tc>
          <w:tcPr>
            <w:tcW w:w="6254" w:type="dxa"/>
            <w:gridSpan w:val="5"/>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(Address of principal executive offices)</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(512) 481-4271</w:t>
            </w:r>
          </w:p>
        </w:tc>
      </w:tr>
    </w:tbl>
    <w:p>
      <w:pPr>
        <w:pStyle w:val="TextBody"/>
        <w:bidi w:val="0"/>
        <w:jc w:val="center"/>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8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005" w:type="dxa"/>
        <w:jc w:val="left"/>
        <w:tblInd w:w="0" w:type="dxa"/>
        <w:tblLayout w:type="fixed"/>
        <w:tblCellMar>
          <w:top w:w="28" w:type="dxa"/>
          <w:left w:w="28" w:type="dxa"/>
          <w:bottom w:w="28" w:type="dxa"/>
          <w:right w:w="28" w:type="dxa"/>
        </w:tblCellMar>
      </w:tblPr>
      <w:tblGrid>
        <w:gridCol w:w="2941"/>
        <w:gridCol w:w="146"/>
        <w:gridCol w:w="946"/>
        <w:gridCol w:w="14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FTCI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w:t>
        <w:b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br/>
        <w:t>☐</w:t>
      </w:r>
    </w:p>
    <w:p>
      <w:pPr>
        <w:pStyle w:val="TextBody"/>
        <w:pBdr>
          <w:bottom w:val="double" w:sz="6" w:space="1" w:color="000000"/>
        </w:pBdr>
        <w:bidi w:val="0"/>
        <w:jc w:val="left"/>
        <w:rPr/>
      </w:pPr>
      <w:r>
        <w:rPr/>
        <w:t> </w:t>
      </w:r>
    </w:p>
    <w:p>
      <w:pPr>
        <w:pStyle w:val="Heading2"/>
        <w:bidi w:val="0"/>
        <w:jc w:val="left"/>
        <w:rPr/>
      </w:pPr>
      <w:r>
        <w:rPr/>
        <w:t> </w:t>
      </w:r>
    </w:p>
    <w:p>
      <w:pPr>
        <w:pStyle w:val="HorizontalLine"/>
        <w:pBdr>
          <w:bottom w:val="double" w:sz="2" w:space="0" w:color="808080"/>
        </w:pBdr>
        <w:bidi w:val="0"/>
        <w:spacing w:before="0" w:after="283"/>
        <w:jc w:val="left"/>
        <w:rPr/>
      </w:pPr>
      <w:r>
        <w:rPr/>
      </w:r>
    </w:p>
    <w:tbl>
      <w:tblPr>
        <w:tblW w:w="4052" w:type="dxa"/>
        <w:jc w:val="left"/>
        <w:tblInd w:w="0" w:type="dxa"/>
        <w:tblLayout w:type="fixed"/>
        <w:tblCellMar>
          <w:top w:w="28" w:type="dxa"/>
          <w:left w:w="28" w:type="dxa"/>
          <w:bottom w:w="28" w:type="dxa"/>
          <w:right w:w="28" w:type="dxa"/>
        </w:tblCellMar>
      </w:tblPr>
      <w:tblGrid>
        <w:gridCol w:w="916"/>
        <w:gridCol w:w="3136"/>
      </w:tblGrid>
      <w:tr>
        <w:trPr/>
        <w:tc>
          <w:tcPr>
            <w:tcW w:w="91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Item 5.08</w:t>
            </w:r>
          </w:p>
        </w:tc>
        <w:tc>
          <w:tcPr>
            <w:tcW w:w="31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Shareholder Director Nominations.</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applicable, the information in Item 8.01 of this Current Report on Form 8-K is incorporated by reference into this Item 5.08.</w:t>
      </w:r>
    </w:p>
    <w:p>
      <w:pPr>
        <w:pStyle w:val="TextBody"/>
        <w:bidi w:val="0"/>
        <w:jc w:val="both"/>
        <w:rPr/>
      </w:pPr>
      <w:r>
        <w:rPr/>
        <w:t> </w:t>
      </w:r>
    </w:p>
    <w:tbl>
      <w:tblPr>
        <w:tblW w:w="2222" w:type="dxa"/>
        <w:jc w:val="left"/>
        <w:tblInd w:w="0" w:type="dxa"/>
        <w:tblLayout w:type="fixed"/>
        <w:tblCellMar>
          <w:top w:w="28" w:type="dxa"/>
          <w:left w:w="28" w:type="dxa"/>
          <w:bottom w:w="28" w:type="dxa"/>
          <w:right w:w="28" w:type="dxa"/>
        </w:tblCellMar>
      </w:tblPr>
      <w:tblGrid>
        <w:gridCol w:w="916"/>
        <w:gridCol w:w="1306"/>
      </w:tblGrid>
      <w:tr>
        <w:trPr/>
        <w:tc>
          <w:tcPr>
            <w:tcW w:w="9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FTC Solar, Inc. (the “Company”) has set November 30, 2026 as the date of the Company’s 2026 Annual Meeting of Stockholders (the “2026 Annual Meeting”). The 2026 Annual Meeting will be held virtually online by means of remote communication.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record date for the 2026 Annual Meeting is October 7, 2026. Stockholders owning the Company’s common stock at the close of business on the record date, or their legal proxy holders, are entitled to vote at the 2026 Annual Meeting. The Company reserves the right to change the record date or the meeting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the date of the 2026 Annual Meeting is being delayed by more than 60 days from the anniversary date of the Company’s 2025 Annual Meeting of Stockholders (“2025 Annual Meeting”), the deadline for stockholders’ nominations or proposals for consideration at the 2026 Annual Meeting set forth in the Company’s proxy statement for the 2025 Annual Meeting no longer applies. As such, the Company is filing this Current Report on Form 8-K to inform stockholders of this change and to provide the due date for the submission of any qualified stockholder proposals or qualified stockholder director nominations.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Stockholders of the Company who wish to have a proposal considered for inclusion in the Company’s proxy materials for the 2026 Annual Meeting pursuant to Rule 14a-8 under the Exchange Act must ensure that such proposal is delivered to or mailed to and received by the Company’s Secretary at FTC Solar, Inc., 10900 Stonelake Blvd, Suite 100, Quarry Oaks II Building, Austin, Texas 78759 no later than October 19, 2026 which the Company has determined to be a reasonable time before it expects to begin to print and distribute its proxy materials. Such proposals must comply with all applicable procedures and requirements of Rule 14a-8.</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stockholder who intends to submit a director nomination or who intends to submit a proposal regarding any matter of business at the 2026 Annual Meeting other than in accordance with Rule 14a-8 or otherwise must similarly make sure that such nomination or proposal and related notice comply with all applicable rules of the Securities and Exchange Commission, the Delaware General Corporation Law and the Company’s Amended and Restated Bylaws, and are delivered to, or mailed and received at, the Company’s principal executive offices on or before the close of business on October 19, 2026. Any director nominations and stockholder proposals received after this deadline will be considered untimely and will not be considered for inclusion in the proxy materials for the 2026 Annual Meeting nor will it be considered at the 2026 Annual Meeting.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429" w:type="dxa"/>
        <w:jc w:val="left"/>
        <w:tblInd w:w="0" w:type="dxa"/>
        <w:tblLayout w:type="fixed"/>
        <w:tblCellMar>
          <w:top w:w="28" w:type="dxa"/>
          <w:left w:w="28" w:type="dxa"/>
          <w:bottom w:w="28" w:type="dxa"/>
          <w:right w:w="28" w:type="dxa"/>
        </w:tblCellMar>
      </w:tblPr>
      <w:tblGrid>
        <w:gridCol w:w="556"/>
        <w:gridCol w:w="141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FTC SOLAR,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Cathy Behnen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Cathy Behnen, </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818</Words>
  <Characters>4316</Characters>
  <CharactersWithSpaces>5131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