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ALVAREZ ANTONIO 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FTC Solar,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FTCI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restart"/>
          </w:tcPr>
          <w:p>
            <w:pPr>
              <w:spacing w:after="0"/>
              <w:rPr>
                <w:sz w:val="20"/>
                <w:szCs w:val="20"/>
                <w:color w:val="auto"/>
              </w:rPr>
            </w:pPr>
            <w:r>
              <w:rPr>
                <w:rFonts w:ascii="Arial" w:cs="Arial" w:eastAsia="Arial" w:hAnsi="Arial"/>
                <w:sz w:val="13"/>
                <w:szCs w:val="13"/>
                <w:color w:val="auto"/>
              </w:rPr>
              <w:t>Foreign Trading Symbol</w:t>
            </w: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vMerge w:val="restart"/>
          </w:tcPr>
          <w:p>
            <w:pPr>
              <w:ind w:left="56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6"/>
            <w:vMerge w:val="continue"/>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10900 STONELAKE BLVD.</w:t>
            </w:r>
          </w:p>
        </w:tc>
        <w:tc>
          <w:tcPr>
            <w:tcW w:w="1340" w:type="dxa"/>
            <w:vAlign w:val="bottom"/>
          </w:tcPr>
          <w:p>
            <w:pPr>
              <w:spacing w:after="0"/>
              <w:rPr>
                <w:sz w:val="22"/>
                <w:szCs w:val="22"/>
                <w:color w:val="auto"/>
              </w:rPr>
            </w:pPr>
          </w:p>
        </w:tc>
        <w:tc>
          <w:tcPr>
            <w:tcW w:w="14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10/22/2026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SUITE 100 QUARRY OAKS II BUILDING</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AUSTIN</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w w:val="96"/>
              </w:rPr>
              <w:t>TX</w:t>
            </w: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78759</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10/22/2026</w:t>
            </w: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0"/>
              </w:rPr>
              <w:t>31,111</w:t>
            </w:r>
            <w:r>
              <w:rPr>
                <w:rFonts w:ascii="Times New Roman" w:cs="Times New Roman" w:eastAsia="Times New Roman" w:hAnsi="Times New Roman"/>
                <w:sz w:val="22"/>
                <w:szCs w:val="22"/>
                <w:color w:val="008000"/>
                <w:w w:val="90"/>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82,394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pursuant to the Issuer's 2021 Stock Incentive Plan in lieu of cash consideration otherwise payable for the Reporting Person's service on the Issuer's board of directors and is fully vested on the date of grant.</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Cathy Behnen, as Attorney- </w:t>
      </w:r>
      <w:r>
        <w:rPr>
          <w:rFonts w:ascii="Times New Roman" w:cs="Times New Roman" w:eastAsia="Times New Roman" w:hAnsi="Times New Roman"/>
          <w:sz w:val="33"/>
          <w:szCs w:val="33"/>
          <w:color w:val="0000FF"/>
          <w:vertAlign w:val="subscript"/>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3962" TargetMode="External"/><Relationship Id="rId14" Type="http://schemas.openxmlformats.org/officeDocument/2006/relationships/hyperlink" Target="http://www.sec.gov/cgi-bin/browse-edgar?action=getcompany&amp;CIK=00018281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2026-10-23T17:31:11Z</dcterms:created>
  <dcterms:modified xsi:type="dcterms:W3CDTF">2026-10-23T17:31:11Z</dcterms:modified>
</cp:coreProperties>
</file>