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10-K/A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6" w:lineRule="exact"/>
        <w:rPr>
          <w:sz w:val="24"/>
          <w:szCs w:val="24"/>
          <w:color w:val="auto"/>
        </w:rPr>
      </w:pPr>
    </w:p>
    <w:p>
      <w:pPr>
        <w:ind w:left="3920" w:right="2120" w:hanging="3912"/>
        <w:spacing w:after="0" w:line="490" w:lineRule="auto"/>
        <w:tabs>
          <w:tab w:leader="none" w:pos="32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December 31, 2025</w:t>
      </w:r>
    </w:p>
    <w:p>
      <w:pPr>
        <w:spacing w:after="0" w:line="1" w:lineRule="exact"/>
        <w:rPr>
          <w:rFonts w:ascii="MS PGothic" w:cs="MS PGothic" w:eastAsia="MS PGothic" w:hAnsi="MS PGothic"/>
          <w:sz w:val="18"/>
          <w:szCs w:val="18"/>
          <w:color w:val="auto"/>
        </w:rPr>
      </w:pPr>
    </w:p>
    <w:p>
      <w:pPr>
        <w:ind w:left="546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OR</w:t>
      </w:r>
    </w:p>
    <w:p>
      <w:pPr>
        <w:spacing w:after="0" w:line="225"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FOR THE</w:t>
      </w:r>
    </w:p>
    <w:p>
      <w:pPr>
        <w:spacing w:after="0" w:line="33"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4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TRANSITION PERIOD FROM</w:t>
            </w:r>
          </w:p>
        </w:tc>
        <w:tc>
          <w:tcPr>
            <w:tcW w:w="4240" w:type="dxa"/>
            <w:vAlign w:val="bottom"/>
            <w:gridSpan w:val="3"/>
          </w:tcPr>
          <w:p>
            <w:pPr>
              <w:ind w:left="340"/>
              <w:spacing w:after="0"/>
              <w:rPr>
                <w:sz w:val="20"/>
                <w:szCs w:val="20"/>
                <w:color w:val="auto"/>
              </w:rPr>
            </w:pPr>
            <w:r>
              <w:rPr>
                <w:rFonts w:ascii="Times New Roman" w:cs="Times New Roman" w:eastAsia="Times New Roman" w:hAnsi="Times New Roman"/>
                <w:sz w:val="18"/>
                <w:szCs w:val="18"/>
                <w:b w:val="1"/>
                <w:bCs w:val="1"/>
                <w:color w:val="auto"/>
              </w:rPr>
              <w:t>TO</w:t>
            </w:r>
          </w:p>
        </w:tc>
        <w:tc>
          <w:tcPr>
            <w:tcW w:w="3540" w:type="dxa"/>
            <w:vAlign w:val="bottom"/>
          </w:tcPr>
          <w:p>
            <w:pPr>
              <w:spacing w:after="0"/>
              <w:rPr>
                <w:sz w:val="20"/>
                <w:szCs w:val="20"/>
                <w:color w:val="auto"/>
              </w:rPr>
            </w:pPr>
          </w:p>
        </w:tc>
      </w:tr>
      <w:tr>
        <w:trPr>
          <w:trHeight w:val="408"/>
        </w:trPr>
        <w:tc>
          <w:tcPr>
            <w:tcW w:w="3460" w:type="dxa"/>
            <w:vAlign w:val="bottom"/>
          </w:tcPr>
          <w:p>
            <w:pPr>
              <w:spacing w:after="0"/>
              <w:rPr>
                <w:sz w:val="24"/>
                <w:szCs w:val="24"/>
                <w:color w:val="auto"/>
              </w:rPr>
            </w:pPr>
          </w:p>
        </w:tc>
        <w:tc>
          <w:tcPr>
            <w:tcW w:w="42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001-40350</w:t>
            </w:r>
          </w:p>
        </w:tc>
        <w:tc>
          <w:tcPr>
            <w:tcW w:w="3540" w:type="dxa"/>
            <w:vAlign w:val="bottom"/>
          </w:tcPr>
          <w:p>
            <w:pPr>
              <w:spacing w:after="0"/>
              <w:rPr>
                <w:sz w:val="24"/>
                <w:szCs w:val="24"/>
                <w:color w:val="auto"/>
              </w:rPr>
            </w:pPr>
          </w:p>
        </w:tc>
      </w:tr>
      <w:tr>
        <w:trPr>
          <w:trHeight w:val="250"/>
        </w:trPr>
        <w:tc>
          <w:tcPr>
            <w:tcW w:w="3460" w:type="dxa"/>
            <w:vAlign w:val="bottom"/>
            <w:tcBorders>
              <w:bottom w:val="single" w:sz="8" w:color="auto"/>
            </w:tcBorders>
          </w:tcPr>
          <w:p>
            <w:pPr>
              <w:spacing w:after="0"/>
              <w:rPr>
                <w:sz w:val="21"/>
                <w:szCs w:val="21"/>
                <w:color w:val="auto"/>
              </w:rPr>
            </w:pPr>
          </w:p>
        </w:tc>
        <w:tc>
          <w:tcPr>
            <w:tcW w:w="20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960" w:type="dxa"/>
            <w:vAlign w:val="bottom"/>
            <w:tcBorders>
              <w:bottom w:val="single" w:sz="8" w:color="auto"/>
            </w:tcBorders>
          </w:tcPr>
          <w:p>
            <w:pPr>
              <w:spacing w:after="0"/>
              <w:rPr>
                <w:sz w:val="21"/>
                <w:szCs w:val="21"/>
                <w:color w:val="auto"/>
              </w:rPr>
            </w:pPr>
          </w:p>
        </w:tc>
        <w:tc>
          <w:tcPr>
            <w:tcW w:w="3540" w:type="dxa"/>
            <w:vAlign w:val="bottom"/>
            <w:tcBorders>
              <w:bottom w:val="single" w:sz="8" w:color="auto"/>
            </w:tcBorders>
          </w:tcPr>
          <w:p>
            <w:pPr>
              <w:spacing w:after="0"/>
              <w:rPr>
                <w:sz w:val="21"/>
                <w:szCs w:val="21"/>
                <w:color w:val="auto"/>
              </w:rPr>
            </w:pPr>
          </w:p>
        </w:tc>
      </w:tr>
      <w:tr>
        <w:trPr>
          <w:trHeight w:val="437"/>
        </w:trPr>
        <w:tc>
          <w:tcPr>
            <w:tcW w:w="3460" w:type="dxa"/>
            <w:vAlign w:val="bottom"/>
          </w:tcPr>
          <w:p>
            <w:pPr>
              <w:spacing w:after="0"/>
              <w:rPr>
                <w:sz w:val="24"/>
                <w:szCs w:val="24"/>
                <w:color w:val="auto"/>
              </w:rPr>
            </w:pPr>
          </w:p>
        </w:tc>
        <w:tc>
          <w:tcPr>
            <w:tcW w:w="42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FTC SOLAR, INC.</w:t>
            </w:r>
          </w:p>
        </w:tc>
        <w:tc>
          <w:tcPr>
            <w:tcW w:w="3540" w:type="dxa"/>
            <w:vAlign w:val="bottom"/>
          </w:tcPr>
          <w:p>
            <w:pPr>
              <w:spacing w:after="0"/>
              <w:rPr>
                <w:sz w:val="24"/>
                <w:szCs w:val="24"/>
                <w:color w:val="auto"/>
              </w:rPr>
            </w:pPr>
          </w:p>
        </w:tc>
      </w:tr>
      <w:tr>
        <w:trPr>
          <w:trHeight w:val="238"/>
        </w:trPr>
        <w:tc>
          <w:tcPr>
            <w:tcW w:w="3460" w:type="dxa"/>
            <w:vAlign w:val="bottom"/>
          </w:tcPr>
          <w:p>
            <w:pPr>
              <w:spacing w:after="0"/>
              <w:rPr>
                <w:sz w:val="20"/>
                <w:szCs w:val="20"/>
                <w:color w:val="auto"/>
              </w:rPr>
            </w:pPr>
          </w:p>
        </w:tc>
        <w:tc>
          <w:tcPr>
            <w:tcW w:w="4240" w:type="dxa"/>
            <w:vAlign w:val="bottom"/>
            <w:gridSpan w:val="3"/>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tc>
        <w:tc>
          <w:tcPr>
            <w:tcW w:w="3540" w:type="dxa"/>
            <w:vAlign w:val="bottom"/>
          </w:tcPr>
          <w:p>
            <w:pPr>
              <w:spacing w:after="0"/>
              <w:rPr>
                <w:sz w:val="20"/>
                <w:szCs w:val="20"/>
                <w:color w:val="auto"/>
              </w:rPr>
            </w:pPr>
          </w:p>
        </w:tc>
      </w:tr>
      <w:tr>
        <w:trPr>
          <w:trHeight w:val="237"/>
        </w:trPr>
        <w:tc>
          <w:tcPr>
            <w:tcW w:w="346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tcPr>
          <w:p>
            <w:pPr>
              <w:spacing w:after="0"/>
              <w:rPr>
                <w:sz w:val="20"/>
                <w:szCs w:val="20"/>
                <w:color w:val="auto"/>
              </w:rPr>
            </w:pPr>
          </w:p>
        </w:tc>
        <w:tc>
          <w:tcPr>
            <w:tcW w:w="3540" w:type="dxa"/>
            <w:vAlign w:val="bottom"/>
            <w:tcBorders>
              <w:bottom w:val="single" w:sz="8" w:color="auto"/>
            </w:tcBorders>
          </w:tcPr>
          <w:p>
            <w:pPr>
              <w:spacing w:after="0"/>
              <w:rPr>
                <w:sz w:val="20"/>
                <w:szCs w:val="20"/>
                <w:color w:val="auto"/>
              </w:rPr>
            </w:pPr>
          </w:p>
        </w:tc>
      </w:tr>
      <w:tr>
        <w:trPr>
          <w:trHeight w:val="479"/>
        </w:trPr>
        <w:tc>
          <w:tcPr>
            <w:tcW w:w="3460" w:type="dxa"/>
            <w:vAlign w:val="bottom"/>
            <w:tcBorders>
              <w:bottom w:val="single" w:sz="8" w:color="auto"/>
            </w:tcBorders>
          </w:tcPr>
          <w:p>
            <w:pPr>
              <w:jc w:val="center"/>
              <w:ind w:left="197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06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tcPr>
          <w:p>
            <w:pPr>
              <w:jc w:val="right"/>
              <w:ind w:right="2230"/>
              <w:spacing w:after="0"/>
              <w:rPr>
                <w:sz w:val="20"/>
                <w:szCs w:val="20"/>
                <w:color w:val="auto"/>
              </w:rPr>
            </w:pPr>
            <w:r>
              <w:rPr>
                <w:rFonts w:ascii="Times New Roman" w:cs="Times New Roman" w:eastAsia="Times New Roman" w:hAnsi="Times New Roman"/>
                <w:sz w:val="18"/>
                <w:szCs w:val="18"/>
                <w:b w:val="1"/>
                <w:bCs w:val="1"/>
                <w:color w:val="auto"/>
              </w:rPr>
              <w:t>81-4816270</w:t>
            </w:r>
          </w:p>
        </w:tc>
      </w:tr>
      <w:tr>
        <w:trPr>
          <w:trHeight w:val="194"/>
        </w:trPr>
        <w:tc>
          <w:tcPr>
            <w:tcW w:w="5520" w:type="dxa"/>
            <w:vAlign w:val="bottom"/>
            <w:gridSpan w:val="2"/>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(State or other jurisdiction of</w:t>
            </w:r>
          </w:p>
        </w:tc>
        <w:tc>
          <w:tcPr>
            <w:tcW w:w="22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3540" w:type="dxa"/>
            <w:vAlign w:val="bottom"/>
          </w:tcPr>
          <w:p>
            <w:pPr>
              <w:jc w:val="center"/>
              <w:ind w:right="1870"/>
              <w:spacing w:after="0" w:line="194" w:lineRule="exact"/>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7700" w:type="dxa"/>
            <w:vAlign w:val="bottom"/>
            <w:gridSpan w:val="4"/>
          </w:tcPr>
          <w:p>
            <w:pPr>
              <w:jc w:val="center"/>
              <w:ind w:right="218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tc>
        <w:tc>
          <w:tcPr>
            <w:tcW w:w="3540" w:type="dxa"/>
            <w:vAlign w:val="bottom"/>
          </w:tcPr>
          <w:p>
            <w:pPr>
              <w:jc w:val="center"/>
              <w:ind w:right="1870"/>
              <w:spacing w:after="0"/>
              <w:rPr>
                <w:sz w:val="20"/>
                <w:szCs w:val="20"/>
                <w:color w:val="auto"/>
              </w:rPr>
            </w:pPr>
            <w:r>
              <w:rPr>
                <w:rFonts w:ascii="Times New Roman" w:cs="Times New Roman" w:eastAsia="Times New Roman" w:hAnsi="Times New Roman"/>
                <w:sz w:val="18"/>
                <w:szCs w:val="18"/>
                <w:b w:val="1"/>
                <w:bCs w:val="1"/>
                <w:color w:val="auto"/>
              </w:rPr>
              <w:t>Identification No.)</w:t>
            </w:r>
          </w:p>
        </w:tc>
      </w:tr>
      <w:tr>
        <w:trPr>
          <w:trHeight w:val="410"/>
        </w:trPr>
        <w:tc>
          <w:tcPr>
            <w:tcW w:w="7700" w:type="dxa"/>
            <w:vAlign w:val="bottom"/>
            <w:gridSpan w:val="4"/>
          </w:tcPr>
          <w:p>
            <w:pPr>
              <w:jc w:val="center"/>
              <w:ind w:right="2180"/>
              <w:spacing w:after="0"/>
              <w:rPr>
                <w:sz w:val="20"/>
                <w:szCs w:val="20"/>
                <w:color w:val="auto"/>
              </w:rPr>
            </w:pPr>
            <w:r>
              <w:rPr>
                <w:rFonts w:ascii="Times New Roman" w:cs="Times New Roman" w:eastAsia="Times New Roman" w:hAnsi="Times New Roman"/>
                <w:sz w:val="18"/>
                <w:szCs w:val="18"/>
                <w:b w:val="1"/>
                <w:bCs w:val="1"/>
                <w:color w:val="auto"/>
                <w:w w:val="99"/>
              </w:rPr>
              <w:t>10900 Stonelake Blvd, Suite 100,</w:t>
            </w:r>
          </w:p>
        </w:tc>
        <w:tc>
          <w:tcPr>
            <w:tcW w:w="3540" w:type="dxa"/>
            <w:vAlign w:val="bottom"/>
          </w:tcPr>
          <w:p>
            <w:pPr>
              <w:spacing w:after="0"/>
              <w:rPr>
                <w:sz w:val="24"/>
                <w:szCs w:val="24"/>
                <w:color w:val="auto"/>
              </w:rPr>
            </w:pPr>
          </w:p>
        </w:tc>
      </w:tr>
      <w:tr>
        <w:trPr>
          <w:trHeight w:val="216"/>
        </w:trPr>
        <w:tc>
          <w:tcPr>
            <w:tcW w:w="7700" w:type="dxa"/>
            <w:vAlign w:val="bottom"/>
            <w:gridSpan w:val="4"/>
          </w:tcPr>
          <w:p>
            <w:pPr>
              <w:jc w:val="center"/>
              <w:ind w:right="2180"/>
              <w:spacing w:after="0"/>
              <w:rPr>
                <w:sz w:val="20"/>
                <w:szCs w:val="20"/>
                <w:color w:val="auto"/>
              </w:rPr>
            </w:pPr>
            <w:r>
              <w:rPr>
                <w:rFonts w:ascii="Times New Roman" w:cs="Times New Roman" w:eastAsia="Times New Roman" w:hAnsi="Times New Roman"/>
                <w:sz w:val="18"/>
                <w:szCs w:val="18"/>
                <w:b w:val="1"/>
                <w:bCs w:val="1"/>
                <w:color w:val="auto"/>
                <w:w w:val="99"/>
              </w:rPr>
              <w:t>Quarry Oaks II Building,</w:t>
            </w:r>
          </w:p>
        </w:tc>
        <w:tc>
          <w:tcPr>
            <w:tcW w:w="3540" w:type="dxa"/>
            <w:vAlign w:val="bottom"/>
          </w:tcPr>
          <w:p>
            <w:pPr>
              <w:spacing w:after="0"/>
              <w:rPr>
                <w:sz w:val="18"/>
                <w:szCs w:val="18"/>
                <w:color w:val="auto"/>
              </w:rPr>
            </w:pPr>
          </w:p>
        </w:tc>
      </w:tr>
      <w:tr>
        <w:trPr>
          <w:trHeight w:val="245"/>
        </w:trPr>
        <w:tc>
          <w:tcPr>
            <w:tcW w:w="3460" w:type="dxa"/>
            <w:vAlign w:val="bottom"/>
            <w:tcBorders>
              <w:bottom w:val="single" w:sz="8" w:color="auto"/>
            </w:tcBorders>
          </w:tcPr>
          <w:p>
            <w:pPr>
              <w:jc w:val="center"/>
              <w:ind w:left="1970"/>
              <w:spacing w:after="0"/>
              <w:rPr>
                <w:sz w:val="20"/>
                <w:szCs w:val="20"/>
                <w:color w:val="auto"/>
              </w:rPr>
            </w:pPr>
            <w:r>
              <w:rPr>
                <w:rFonts w:ascii="Times New Roman" w:cs="Times New Roman" w:eastAsia="Times New Roman" w:hAnsi="Times New Roman"/>
                <w:sz w:val="18"/>
                <w:szCs w:val="18"/>
                <w:b w:val="1"/>
                <w:bCs w:val="1"/>
                <w:color w:val="auto"/>
                <w:w w:val="98"/>
              </w:rPr>
              <w:t>Austin, Texas</w:t>
            </w:r>
          </w:p>
        </w:tc>
        <w:tc>
          <w:tcPr>
            <w:tcW w:w="206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960" w:type="dxa"/>
            <w:vAlign w:val="bottom"/>
            <w:tcBorders>
              <w:bottom w:val="single" w:sz="8" w:color="auto"/>
            </w:tcBorders>
          </w:tcPr>
          <w:p>
            <w:pPr>
              <w:spacing w:after="0"/>
              <w:rPr>
                <w:sz w:val="21"/>
                <w:szCs w:val="21"/>
                <w:color w:val="auto"/>
              </w:rPr>
            </w:pPr>
          </w:p>
        </w:tc>
        <w:tc>
          <w:tcPr>
            <w:tcW w:w="3540" w:type="dxa"/>
            <w:vAlign w:val="bottom"/>
            <w:tcBorders>
              <w:bottom w:val="single" w:sz="8" w:color="auto"/>
            </w:tcBorders>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78759</w:t>
            </w:r>
          </w:p>
        </w:tc>
      </w:tr>
      <w:tr>
        <w:trPr>
          <w:trHeight w:val="238"/>
        </w:trPr>
        <w:tc>
          <w:tcPr>
            <w:tcW w:w="55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2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3540" w:type="dxa"/>
            <w:vAlign w:val="bottom"/>
          </w:tcPr>
          <w:p>
            <w:pPr>
              <w:jc w:val="center"/>
              <w:ind w:right="1850"/>
              <w:spacing w:after="0"/>
              <w:rPr>
                <w:sz w:val="20"/>
                <w:szCs w:val="20"/>
                <w:color w:val="auto"/>
              </w:rPr>
            </w:pPr>
            <w:r>
              <w:rPr>
                <w:rFonts w:ascii="Times New Roman" w:cs="Times New Roman" w:eastAsia="Times New Roman" w:hAnsi="Times New Roman"/>
                <w:sz w:val="18"/>
                <w:szCs w:val="18"/>
                <w:b w:val="1"/>
                <w:bCs w:val="1"/>
                <w:color w:val="auto"/>
              </w:rPr>
              <w:t>(Zip Code)</w:t>
            </w:r>
          </w:p>
        </w:tc>
      </w:tr>
    </w:tbl>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(512) 481-4271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9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39"/>
        </w:trPr>
        <w:tc>
          <w:tcPr>
            <w:tcW w:w="4760" w:type="dxa"/>
            <w:vAlign w:val="bottom"/>
            <w:gridSpan w:val="3"/>
          </w:tcPr>
          <w:p>
            <w:pPr>
              <w:jc w:val="center"/>
              <w:ind w:right="114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880" w:type="dxa"/>
            <w:vAlign w:val="bottom"/>
            <w:gridSpan w:val="2"/>
          </w:tcPr>
          <w:p>
            <w:pPr>
              <w:jc w:val="center"/>
              <w:ind w:right="11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Common Stock, $0.0001 par value</w:t>
            </w:r>
          </w:p>
        </w:tc>
        <w:tc>
          <w:tcPr>
            <w:tcW w:w="2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jc w:val="center"/>
              <w:ind w:right="830"/>
              <w:spacing w:after="0"/>
              <w:rPr>
                <w:sz w:val="20"/>
                <w:szCs w:val="20"/>
                <w:color w:val="auto"/>
              </w:rPr>
            </w:pPr>
            <w:r>
              <w:rPr>
                <w:rFonts w:ascii="Times New Roman" w:cs="Times New Roman" w:eastAsia="Times New Roman" w:hAnsi="Times New Roman"/>
                <w:sz w:val="18"/>
                <w:szCs w:val="18"/>
                <w:color w:val="auto"/>
              </w:rPr>
              <w:t>FTCI</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432"/>
        </w:trPr>
        <w:tc>
          <w:tcPr>
            <w:tcW w:w="4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12(g) of the Act: None</w:t>
            </w:r>
          </w:p>
        </w:tc>
        <w:tc>
          <w:tcPr>
            <w:tcW w:w="2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bl>
    <w:p>
      <w:pPr>
        <w:spacing w:after="0" w:line="15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not required to file reports pursuant to Section 13 or 15(d)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303"/>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200" w:type="dxa"/>
            <w:vAlign w:val="bottom"/>
          </w:tcPr>
          <w:p>
            <w:pPr>
              <w:ind w:left="1000"/>
              <w:spacing w:after="0" w:line="181" w:lineRule="exact"/>
              <w:rPr>
                <w:sz w:val="20"/>
                <w:szCs w:val="20"/>
                <w:color w:val="auto"/>
              </w:rPr>
            </w:pPr>
            <w:r>
              <w:rPr>
                <w:rFonts w:ascii="MS PGothic" w:cs="MS PGothic" w:eastAsia="MS PGothic" w:hAnsi="MS PGothic"/>
                <w:sz w:val="18"/>
                <w:szCs w:val="18"/>
                <w:color w:val="auto"/>
              </w:rPr>
              <w:t>☐</w:t>
            </w:r>
          </w:p>
        </w:tc>
        <w:tc>
          <w:tcPr>
            <w:tcW w:w="39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Accelerated filer</w:t>
            </w:r>
          </w:p>
        </w:tc>
        <w:tc>
          <w:tcPr>
            <w:tcW w:w="1140" w:type="dxa"/>
            <w:vAlign w:val="bottom"/>
          </w:tcPr>
          <w:p>
            <w:pPr>
              <w:ind w:left="9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200" w:type="dxa"/>
            <w:vAlign w:val="bottom"/>
          </w:tcPr>
          <w:p>
            <w:pPr>
              <w:ind w:left="1000"/>
              <w:spacing w:after="0" w:line="181" w:lineRule="exact"/>
              <w:rPr>
                <w:sz w:val="20"/>
                <w:szCs w:val="20"/>
                <w:color w:val="auto"/>
              </w:rPr>
            </w:pPr>
            <w:r>
              <w:rPr>
                <w:rFonts w:ascii="MS PGothic" w:cs="MS PGothic" w:eastAsia="MS PGothic" w:hAnsi="MS PGothic"/>
                <w:sz w:val="18"/>
                <w:szCs w:val="18"/>
                <w:color w:val="auto"/>
              </w:rPr>
              <w:t>☒</w:t>
            </w:r>
          </w:p>
        </w:tc>
        <w:tc>
          <w:tcPr>
            <w:tcW w:w="39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140" w:type="dxa"/>
            <w:vAlign w:val="bottom"/>
          </w:tcPr>
          <w:p>
            <w:pPr>
              <w:ind w:left="9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2200" w:type="dxa"/>
            <w:vAlign w:val="bottom"/>
          </w:tcPr>
          <w:p>
            <w:pPr>
              <w:ind w:left="1000"/>
              <w:spacing w:after="0" w:line="181" w:lineRule="exact"/>
              <w:rPr>
                <w:sz w:val="20"/>
                <w:szCs w:val="20"/>
                <w:color w:val="auto"/>
              </w:rPr>
            </w:pPr>
            <w:r>
              <w:rPr>
                <w:rFonts w:ascii="MS PGothic" w:cs="MS PGothic" w:eastAsia="MS PGothic" w:hAnsi="MS PGothic"/>
                <w:sz w:val="18"/>
                <w:szCs w:val="18"/>
                <w:color w:val="auto"/>
              </w:rPr>
              <w:t>☒</w:t>
            </w:r>
          </w:p>
        </w:tc>
        <w:tc>
          <w:tcPr>
            <w:tcW w:w="398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pacing w:after="0" w:line="170"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0"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w:t>
      </w:r>
    </w:p>
    <w:p>
      <w:pPr>
        <w:sectPr>
          <w:pgSz w:w="11900" w:h="16941" w:orient="portrait"/>
          <w:cols w:equalWidth="0" w:num="1">
            <w:col w:w="11240"/>
          </w:cols>
          <w:pgMar w:left="320" w:top="671" w:right="339" w:bottom="0" w:gutter="0" w:footer="0" w:header="0"/>
        </w:sectPr>
      </w:pPr>
    </w:p>
    <w:bookmarkStart w:id="1" w:name="page2"/>
    <w:bookmarkEnd w:id="1"/>
    <w:p>
      <w:pPr>
        <w:spacing w:after="0" w:line="207" w:lineRule="exact"/>
        <w:rPr>
          <w:sz w:val="20"/>
          <w:szCs w:val="20"/>
          <w:color w:val="auto"/>
        </w:rPr>
      </w:pPr>
      <w:r>
        <w:rPr>
          <w:rFonts w:ascii="Times New Roman" w:cs="Times New Roman" w:eastAsia="Times New Roman" w:hAnsi="Times New Roman"/>
          <w:sz w:val="18"/>
          <w:szCs w:val="18"/>
          <w:color w:val="auto"/>
        </w:rPr>
        <w:t xml:space="preserve">issued its audit report. </w:t>
      </w:r>
      <w:r>
        <w:rPr>
          <w:rFonts w:ascii="MS PGothic" w:cs="MS PGothic" w:eastAsia="MS PGothic" w:hAnsi="MS PGothic"/>
          <w:sz w:val="18"/>
          <w:szCs w:val="18"/>
          <w:color w:val="auto"/>
        </w:rPr>
        <w:t>☐</w:t>
      </w:r>
    </w:p>
    <w:p>
      <w:pPr>
        <w:spacing w:after="0" w:line="265" w:lineRule="exact"/>
        <w:rPr>
          <w:sz w:val="20"/>
          <w:szCs w:val="20"/>
          <w:color w:val="auto"/>
        </w:rPr>
      </w:pPr>
    </w:p>
    <w:p>
      <w:pPr>
        <w:ind w:right="300"/>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70" w:lineRule="exact"/>
        <w:rPr>
          <w:sz w:val="20"/>
          <w:szCs w:val="20"/>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130"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aggregate market value of the voting and non-voting common equity held by non-affiliates of the registrant, based on the closing price of the shares of common stock on June 30, 2025 was $38,128,743.</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number of shares of registrant’s common stock outstanding as of March 20, 2026, was 15,585,198.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368935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FTC Solar, Inc. (the “Company”) is filing this Amendment No. 2 on Form 10-K/A (this “Amendment No. 2”) to the Company’s Annual Report on Form 10-K for the fiscal year ended December 31, 2025, originally filed by the Company with the U.S. Securities and Exchange Commission (the “SEC”) on March 24, 2026 (the “Original Form 10-K”), as amended by the Form 10-K/A filed by the Company with the SEC on April 28, 2026 (“Amendment No. 1” and the Original Form 10-K as amended by Amendment No. 1, the “Amended Form 10-K”), solely for the purpose of amending the beneficial ownership table contained in Part III, Item 12 of the Amended Form 10-K in order to reflect the deletion of AV Securities, Inc. (“AV Securities”) from such beneficial ownership table based on the further certification provided by AV Securities regarding its lack of beneficial ownership of Company securities.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Accordingly, this Amendment No. 2 consists only of the facing page, this explanatory note, Item 12, the signature pages to Form 10-K and the applicable exhibits. The Original Form 10-K and Amendment No. 1 thereto are otherwise unchanged. This Amendment No. 2 should be read in conjunction with the Original Form 10-K and Amendment No. 1 thereto. Further, this Amendment No. 2 does not reflect any subsequent events occurring after the filing date of either of the Original Form 10-K or Amendment No. 1 thereto, and it does not modify or update in any way the disclosures made in the Original Form 10-K or Amendment No. 1 thereto, except as described above.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Rule 12b-15 under the Securities Exchange Act of 1934, as amended (the “Exchange Act”), this Amendment No. 2 also contains new certifications by the principal executive officer and the principal financial officer as required by Section 302 of the Sarbanes-Oxley Act of 2002. Accordingly, Item 15 of Part IV is amended to include the currently dated certifications of our principal executive officer and principal financial officer as exhibits.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stated otherwise, references in this Amendment No. 2 to “FTC,” “the Company”, “we”, “our” and “us” are used herein to refer to FTC Solar,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 w:name="page4"/>
    <w:bookmarkEnd w:id="3"/>
    <w:p>
      <w:pPr>
        <w:spacing w:after="0" w:line="39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2496820</wp:posOffset>
            </wp:positionH>
            <wp:positionV relativeFrom="page">
              <wp:posOffset>226060</wp:posOffset>
            </wp:positionV>
            <wp:extent cx="2562860" cy="8140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2562860" cy="81407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8"/>
        </w:trPr>
        <w:tc>
          <w:tcPr>
            <w:tcW w:w="1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5880" w:type="dxa"/>
            <w:vAlign w:val="bottom"/>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120" w:type="dxa"/>
            <w:vAlign w:val="bottom"/>
          </w:tcPr>
          <w:p>
            <w:pPr>
              <w:spacing w:after="0"/>
              <w:rPr>
                <w:sz w:val="20"/>
                <w:szCs w:val="20"/>
                <w:color w:val="auto"/>
              </w:rPr>
            </w:pPr>
          </w:p>
        </w:tc>
      </w:tr>
      <w:tr>
        <w:trPr>
          <w:trHeight w:val="439"/>
        </w:trPr>
        <w:tc>
          <w:tcPr>
            <w:tcW w:w="1140" w:type="dxa"/>
            <w:vAlign w:val="bottom"/>
            <w:tcBorders>
              <w:bottom w:val="single" w:sz="8" w:color="CCEEFF"/>
            </w:tcBorders>
          </w:tcPr>
          <w:p>
            <w:pPr>
              <w:spacing w:after="0"/>
              <w:rPr>
                <w:sz w:val="24"/>
                <w:szCs w:val="24"/>
                <w:color w:val="auto"/>
              </w:rPr>
            </w:pPr>
          </w:p>
        </w:tc>
        <w:tc>
          <w:tcPr>
            <w:tcW w:w="1100" w:type="dxa"/>
            <w:vAlign w:val="bottom"/>
            <w:tcBorders>
              <w:bottom w:val="single" w:sz="8" w:color="CCEEFF"/>
            </w:tcBorders>
          </w:tcPr>
          <w:p>
            <w:pPr>
              <w:spacing w:after="0"/>
              <w:rPr>
                <w:sz w:val="24"/>
                <w:szCs w:val="24"/>
                <w:color w:val="auto"/>
              </w:rPr>
            </w:pPr>
          </w:p>
        </w:tc>
        <w:tc>
          <w:tcPr>
            <w:tcW w:w="2000" w:type="dxa"/>
            <w:vAlign w:val="bottom"/>
            <w:tcBorders>
              <w:bottom w:val="single" w:sz="8" w:color="CCEEFF"/>
            </w:tcBorders>
          </w:tcPr>
          <w:p>
            <w:pPr>
              <w:spacing w:after="0"/>
              <w:rPr>
                <w:sz w:val="24"/>
                <w:szCs w:val="24"/>
                <w:color w:val="auto"/>
              </w:rPr>
            </w:pPr>
          </w:p>
        </w:tc>
        <w:tc>
          <w:tcPr>
            <w:tcW w:w="4200" w:type="dxa"/>
            <w:vAlign w:val="bottom"/>
            <w:tcBorders>
              <w:bottom w:val="single" w:sz="8" w:color="CCEEFF"/>
            </w:tcBorders>
          </w:tcPr>
          <w:p>
            <w:pPr>
              <w:spacing w:after="0"/>
              <w:rPr>
                <w:sz w:val="24"/>
                <w:szCs w:val="24"/>
                <w:color w:val="auto"/>
              </w:rPr>
            </w:pPr>
          </w:p>
        </w:tc>
        <w:tc>
          <w:tcPr>
            <w:tcW w:w="1680" w:type="dxa"/>
            <w:vAlign w:val="bottom"/>
            <w:tcBorders>
              <w:bottom w:val="single" w:sz="8" w:color="CCEEFF"/>
            </w:tcBorders>
          </w:tcPr>
          <w:p>
            <w:pPr>
              <w:spacing w:after="0"/>
              <w:rPr>
                <w:sz w:val="24"/>
                <w:szCs w:val="24"/>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110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12.</w:t>
            </w:r>
          </w:p>
        </w:tc>
        <w:tc>
          <w:tcPr>
            <w:tcW w:w="898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0000EE"/>
              </w:rPr>
              <w:t>Security Ownership of Certain Beneficial Owners and Management and Related Stockholder Matters</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1"/>
        </w:trPr>
        <w:tc>
          <w:tcPr>
            <w:tcW w:w="1140" w:type="dxa"/>
            <w:vAlign w:val="bottom"/>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2000" w:type="dxa"/>
            <w:vAlign w:val="bottom"/>
            <w:tcBorders>
              <w:top w:val="single" w:sz="8" w:color="0000EE"/>
            </w:tcBorders>
          </w:tcPr>
          <w:p>
            <w:pPr>
              <w:spacing w:after="0" w:line="20" w:lineRule="exact"/>
              <w:rPr>
                <w:sz w:val="1"/>
                <w:szCs w:val="1"/>
                <w:color w:val="auto"/>
              </w:rPr>
            </w:pPr>
          </w:p>
        </w:tc>
        <w:tc>
          <w:tcPr>
            <w:tcW w:w="4200" w:type="dxa"/>
            <w:vAlign w:val="bottom"/>
            <w:tcBorders>
              <w:top w:val="single" w:sz="8" w:color="0000EE"/>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16"/>
        </w:trPr>
        <w:tc>
          <w:tcPr>
            <w:tcW w:w="1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11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15.</w:t>
            </w:r>
          </w:p>
        </w:tc>
        <w:tc>
          <w:tcPr>
            <w:tcW w:w="898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Exhibit and Financial Statement Schedules</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4</w:t>
            </w:r>
          </w:p>
        </w:tc>
      </w:tr>
      <w:tr>
        <w:trPr>
          <w:trHeight w:val="216"/>
        </w:trPr>
        <w:tc>
          <w:tcPr>
            <w:tcW w:w="1140" w:type="dxa"/>
            <w:vAlign w:val="bottom"/>
            <w:tcBorders>
              <w:top w:val="single" w:sz="8" w:color="CCEEFF"/>
            </w:tcBorders>
          </w:tcPr>
          <w:p>
            <w:pPr>
              <w:spacing w:after="0"/>
              <w:rPr>
                <w:sz w:val="18"/>
                <w:szCs w:val="18"/>
                <w:color w:val="auto"/>
              </w:rPr>
            </w:pPr>
          </w:p>
        </w:tc>
        <w:tc>
          <w:tcPr>
            <w:tcW w:w="1100" w:type="dxa"/>
            <w:vAlign w:val="bottom"/>
            <w:tcBorders>
              <w:top w:val="single" w:sz="8" w:color="0000EE"/>
            </w:tcBorders>
          </w:tcPr>
          <w:p>
            <w:pPr>
              <w:spacing w:after="0"/>
              <w:rPr>
                <w:sz w:val="18"/>
                <w:szCs w:val="18"/>
                <w:color w:val="auto"/>
              </w:rPr>
            </w:pPr>
          </w:p>
        </w:tc>
        <w:tc>
          <w:tcPr>
            <w:tcW w:w="2000" w:type="dxa"/>
            <w:vAlign w:val="bottom"/>
            <w:tcBorders>
              <w:top w:val="single" w:sz="8" w:color="0000EE"/>
            </w:tcBorders>
          </w:tcPr>
          <w:p>
            <w:pPr>
              <w:spacing w:after="0"/>
              <w:rPr>
                <w:sz w:val="18"/>
                <w:szCs w:val="18"/>
                <w:color w:val="auto"/>
              </w:rPr>
            </w:pPr>
          </w:p>
        </w:tc>
        <w:tc>
          <w:tcPr>
            <w:tcW w:w="420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1140" w:type="dxa"/>
            <w:vAlign w:val="bottom"/>
            <w:shd w:val="clear" w:color="auto" w:fill="CCEEFF"/>
          </w:tcPr>
          <w:p>
            <w:pPr>
              <w:spacing w:after="0"/>
              <w:rPr>
                <w:sz w:val="17"/>
                <w:szCs w:val="17"/>
                <w:color w:val="auto"/>
              </w:rPr>
            </w:pPr>
          </w:p>
        </w:tc>
        <w:tc>
          <w:tcPr>
            <w:tcW w:w="898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SIGNATURES</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7</w:t>
            </w:r>
          </w:p>
        </w:tc>
      </w:tr>
      <w:tr>
        <w:trPr>
          <w:trHeight w:val="439"/>
        </w:trPr>
        <w:tc>
          <w:tcPr>
            <w:tcW w:w="1140" w:type="dxa"/>
            <w:vAlign w:val="bottom"/>
            <w:tcBorders>
              <w:top w:val="single" w:sz="8" w:color="CCEEFF"/>
              <w:bottom w:val="single" w:sz="8" w:color="auto"/>
            </w:tcBorders>
          </w:tcPr>
          <w:p>
            <w:pPr>
              <w:spacing w:after="0"/>
              <w:rPr>
                <w:sz w:val="24"/>
                <w:szCs w:val="24"/>
                <w:color w:val="auto"/>
              </w:rPr>
            </w:pPr>
          </w:p>
        </w:tc>
        <w:tc>
          <w:tcPr>
            <w:tcW w:w="1100" w:type="dxa"/>
            <w:vAlign w:val="bottom"/>
            <w:tcBorders>
              <w:top w:val="single" w:sz="8" w:color="0000EE"/>
              <w:bottom w:val="single" w:sz="8" w:color="auto"/>
            </w:tcBorders>
          </w:tcPr>
          <w:p>
            <w:pPr>
              <w:spacing w:after="0"/>
              <w:rPr>
                <w:sz w:val="24"/>
                <w:szCs w:val="24"/>
                <w:color w:val="auto"/>
              </w:rPr>
            </w:pPr>
          </w:p>
        </w:tc>
        <w:tc>
          <w:tcPr>
            <w:tcW w:w="2000" w:type="dxa"/>
            <w:vAlign w:val="bottom"/>
            <w:tcBorders>
              <w:top w:val="single" w:sz="8" w:color="CCEEFF"/>
              <w:bottom w:val="single" w:sz="8" w:color="auto"/>
            </w:tcBorders>
          </w:tcPr>
          <w:p>
            <w:pPr>
              <w:spacing w:after="0"/>
              <w:rPr>
                <w:sz w:val="24"/>
                <w:szCs w:val="24"/>
                <w:color w:val="auto"/>
              </w:rPr>
            </w:pPr>
          </w:p>
        </w:tc>
        <w:tc>
          <w:tcPr>
            <w:tcW w:w="4200" w:type="dxa"/>
            <w:vAlign w:val="bottom"/>
            <w:tcBorders>
              <w:top w:val="single" w:sz="8" w:color="CCEEFF"/>
              <w:bottom w:val="single" w:sz="8" w:color="auto"/>
            </w:tcBorders>
          </w:tcPr>
          <w:p>
            <w:pPr>
              <w:spacing w:after="0"/>
              <w:rPr>
                <w:sz w:val="24"/>
                <w:szCs w:val="24"/>
                <w:color w:val="auto"/>
              </w:rPr>
            </w:pPr>
          </w:p>
        </w:tc>
        <w:tc>
          <w:tcPr>
            <w:tcW w:w="1680" w:type="dxa"/>
            <w:vAlign w:val="bottom"/>
            <w:tcBorders>
              <w:top w:val="single" w:sz="8" w:color="CCEEFF"/>
              <w:bottom w:val="single" w:sz="8" w:color="auto"/>
            </w:tcBorders>
          </w:tcPr>
          <w:p>
            <w:pPr>
              <w:spacing w:after="0"/>
              <w:rPr>
                <w:sz w:val="24"/>
                <w:szCs w:val="24"/>
                <w:color w:val="auto"/>
              </w:rPr>
            </w:pPr>
          </w:p>
        </w:tc>
        <w:tc>
          <w:tcPr>
            <w:tcW w:w="112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1440" w:right="33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At December 31, 2025, shares of our common stock were issuable under our 2017 Stock Incentive Plan (the “2017 Plan”) and our 2021 Plan, both of which were adopted by our board of directors and stockholders, as follows:</w:t>
      </w:r>
    </w:p>
    <w:p>
      <w:pPr>
        <w:sectPr>
          <w:pgSz w:w="11900" w:h="16838" w:orient="portrait"/>
          <w:cols w:equalWidth="0" w:num="1">
            <w:col w:w="11240"/>
          </w:cols>
          <w:pgMar w:left="320" w:top="33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Plan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456882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568825" cy="1714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Equity compensation plans approved by security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options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Equity compensation plans not approved by security holders: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Restricted stock units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797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Number of</w:t>
            </w:r>
          </w:p>
        </w:tc>
      </w:tr>
      <w:tr>
        <w:trPr>
          <w:trHeight w:val="216"/>
        </w:trPr>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securities</w:t>
            </w:r>
          </w:p>
        </w:tc>
      </w:tr>
      <w:tr>
        <w:trPr>
          <w:trHeight w:val="216"/>
        </w:trPr>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remaining</w:t>
            </w:r>
          </w:p>
        </w:tc>
      </w:tr>
      <w:tr>
        <w:trPr>
          <w:trHeight w:val="216"/>
        </w:trPr>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available for</w:t>
            </w:r>
          </w:p>
        </w:tc>
      </w:tr>
      <w:tr>
        <w:trPr>
          <w:trHeight w:val="216"/>
        </w:trPr>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future</w:t>
            </w:r>
          </w:p>
        </w:tc>
      </w:tr>
      <w:tr>
        <w:trPr>
          <w:trHeight w:val="216"/>
        </w:trPr>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issuance</w:t>
            </w:r>
          </w:p>
        </w:tc>
      </w:tr>
      <w:tr>
        <w:trPr>
          <w:trHeight w:val="216"/>
        </w:trPr>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securities to</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1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under equity</w:t>
            </w:r>
          </w:p>
        </w:tc>
      </w:tr>
      <w:tr>
        <w:trPr>
          <w:trHeight w:val="216"/>
        </w:trPr>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be issued upon</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14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r>
      <w:tr>
        <w:trPr>
          <w:trHeight w:val="216"/>
        </w:trPr>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exercise of</w:t>
            </w:r>
          </w:p>
        </w:tc>
        <w:tc>
          <w:tcPr>
            <w:tcW w:w="13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exercise price</w:t>
            </w:r>
          </w:p>
        </w:tc>
        <w:tc>
          <w:tcPr>
            <w:tcW w:w="11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7"/>
              </w:rPr>
              <w:t>plans</w:t>
            </w:r>
          </w:p>
        </w:tc>
      </w:tr>
      <w:tr>
        <w:trPr>
          <w:trHeight w:val="216"/>
        </w:trPr>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outstanding</w:t>
            </w:r>
          </w:p>
        </w:tc>
        <w:tc>
          <w:tcPr>
            <w:tcW w:w="13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of outstanding</w:t>
            </w:r>
          </w:p>
        </w:tc>
        <w:tc>
          <w:tcPr>
            <w:tcW w:w="11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(excluding</w:t>
            </w:r>
          </w:p>
        </w:tc>
      </w:tr>
      <w:tr>
        <w:trPr>
          <w:trHeight w:val="216"/>
        </w:trPr>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options,</w:t>
            </w:r>
          </w:p>
        </w:tc>
        <w:tc>
          <w:tcPr>
            <w:tcW w:w="11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securities</w:t>
            </w:r>
          </w:p>
        </w:tc>
      </w:tr>
      <w:tr>
        <w:trPr>
          <w:trHeight w:val="216"/>
        </w:trPr>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warrants and</w:t>
            </w:r>
          </w:p>
        </w:tc>
        <w:tc>
          <w:tcPr>
            <w:tcW w:w="13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warrants and</w:t>
            </w:r>
          </w:p>
        </w:tc>
        <w:tc>
          <w:tcPr>
            <w:tcW w:w="114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reflected in</w:t>
            </w:r>
          </w:p>
        </w:tc>
      </w:tr>
      <w:tr>
        <w:trPr>
          <w:trHeight w:val="245"/>
        </w:trPr>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rights</w:t>
            </w:r>
          </w:p>
        </w:tc>
        <w:tc>
          <w:tcPr>
            <w:tcW w:w="120" w:type="dxa"/>
            <w:vAlign w:val="bottom"/>
          </w:tcPr>
          <w:p>
            <w:pPr>
              <w:spacing w:after="0"/>
              <w:rPr>
                <w:sz w:val="21"/>
                <w:szCs w:val="21"/>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rights</w:t>
            </w:r>
          </w:p>
        </w:tc>
        <w:tc>
          <w:tcPr>
            <w:tcW w:w="11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column (a))</w:t>
            </w:r>
          </w:p>
        </w:tc>
      </w:tr>
      <w:tr>
        <w:trPr>
          <w:trHeight w:val="223"/>
        </w:trPr>
        <w:tc>
          <w:tcPr>
            <w:tcW w:w="11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(b)</w:t>
            </w:r>
          </w:p>
        </w:tc>
        <w:tc>
          <w:tcPr>
            <w:tcW w:w="22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w:t>
            </w:r>
          </w:p>
        </w:tc>
        <w:tc>
          <w:tcPr>
            <w:tcW w:w="20" w:type="dxa"/>
            <w:vAlign w:val="bottom"/>
          </w:tcPr>
          <w:p>
            <w:pPr>
              <w:spacing w:after="0"/>
              <w:rPr>
                <w:sz w:val="19"/>
                <w:szCs w:val="19"/>
                <w:color w:val="auto"/>
              </w:rPr>
            </w:pPr>
          </w:p>
        </w:tc>
      </w:tr>
      <w:tr>
        <w:trPr>
          <w:trHeight w:val="414"/>
        </w:trPr>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201,905</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21.28</w:t>
            </w:r>
          </w:p>
        </w:tc>
        <w:tc>
          <w:tcPr>
            <w:tcW w:w="114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N/A</w:t>
            </w:r>
          </w:p>
        </w:tc>
      </w:tr>
      <w:tr>
        <w:trPr>
          <w:trHeight w:val="234"/>
        </w:trPr>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3,307,293</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N/A</w:t>
            </w:r>
          </w:p>
        </w:tc>
      </w:tr>
      <w:tr>
        <w:trPr>
          <w:trHeight w:val="446"/>
        </w:trPr>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416,673</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1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gridSpan w:val="2"/>
            <w:shd w:val="clear" w:color="auto" w:fill="000000"/>
          </w:tcPr>
          <w:p>
            <w:pPr>
              <w:spacing w:after="0"/>
              <w:rPr>
                <w:sz w:val="2"/>
                <w:szCs w:val="2"/>
                <w:color w:val="auto"/>
              </w:rPr>
            </w:pPr>
          </w:p>
        </w:tc>
      </w:tr>
      <w:tr>
        <w:trPr>
          <w:trHeight w:val="250"/>
        </w:trPr>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3,925,871</w:t>
            </w:r>
          </w:p>
        </w:tc>
        <w:tc>
          <w:tcPr>
            <w:tcW w:w="24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21.28</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660,993</w:t>
            </w:r>
          </w:p>
        </w:tc>
      </w:tr>
      <w:tr>
        <w:trPr>
          <w:trHeight w:val="20"/>
        </w:trPr>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r>
    </w:tbl>
    <w:p>
      <w:pPr>
        <w:spacing w:after="0" w:line="600" w:lineRule="exact"/>
        <w:rPr>
          <w:sz w:val="20"/>
          <w:szCs w:val="20"/>
          <w:color w:val="auto"/>
        </w:rPr>
      </w:pPr>
    </w:p>
    <w:p>
      <w:pPr>
        <w:sectPr>
          <w:pgSz w:w="11900" w:h="16838" w:orient="portrait"/>
          <w:cols w:equalWidth="0" w:num="2">
            <w:col w:w="6600" w:space="720"/>
            <w:col w:w="3920"/>
          </w:cols>
          <w:pgMar w:left="320" w:top="333" w:right="339" w:bottom="1440" w:gutter="0" w:footer="0" w:header="0"/>
          <w:type w:val="continuous"/>
        </w:sectPr>
      </w:pPr>
    </w:p>
    <w:p>
      <w:pPr>
        <w:spacing w:after="0" w:line="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shows information regarding the beneficial ownership of our common stock for the following:</w:t>
      </w:r>
    </w:p>
    <w:p>
      <w:pPr>
        <w:spacing w:after="0" w:line="225" w:lineRule="exact"/>
        <w:rPr>
          <w:sz w:val="20"/>
          <w:szCs w:val="20"/>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stockholder known by us to beneficially own more than 5% of our common stock;</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2025 Named Executive Officers;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current executive officers and directors as a group.</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amounts and percentages of our common stock beneficially owned are reported on the basis of SEC regulations governing the determination of beneficial ownership of securities. Under SEC rules, a person is deemed to be a “beneficial” owner of a security if that person has or shares voting power or investment power, which includes the power to dispose of or to direct the disposition of such security. A person is also deemed to be a beneficial owner of any securities of which that person has a right to acquire beneficial ownership within 60 days of April 28, 2026. Securities that can be so acquired are not deemed to be outstanding for purposes of computing any other person’s percentage.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5" w:name="page6"/>
    <w:bookmarkEnd w:id="5"/>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determination of the percentage of beneficial ownership is based on 15,970,751 shares of our common stock outstanding as of April 28, 2026. Unless otherwise indicated, the business address of each such beneficial owner is c/o 10900 Stonelake Blvd., Suite 100, Quarry Oaks II Building, Austin, Texas 78759.</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Each of the stockholders listed has sole voting and investment power with respect to the shares beneficially owned by the stockholder unless noted otherwise, subject to community property laws where applicable.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0" w:type="dxa"/>
            <w:vAlign w:val="bottom"/>
          </w:tcPr>
          <w:p>
            <w:pPr>
              <w:spacing w:after="0"/>
              <w:rPr>
                <w:sz w:val="18"/>
                <w:szCs w:val="18"/>
                <w:color w:val="auto"/>
              </w:rPr>
            </w:pPr>
          </w:p>
        </w:tc>
        <w:tc>
          <w:tcPr>
            <w:tcW w:w="8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0" w:type="dxa"/>
            <w:vAlign w:val="bottom"/>
            <w:gridSpan w:val="4"/>
          </w:tcPr>
          <w:p>
            <w:pPr>
              <w:ind w:left="260"/>
              <w:spacing w:after="0"/>
              <w:rPr>
                <w:sz w:val="20"/>
                <w:szCs w:val="20"/>
                <w:color w:val="auto"/>
              </w:rPr>
            </w:pPr>
            <w:r>
              <w:rPr>
                <w:rFonts w:ascii="Times New Roman" w:cs="Times New Roman" w:eastAsia="Times New Roman" w:hAnsi="Times New Roman"/>
                <w:sz w:val="18"/>
                <w:szCs w:val="18"/>
                <w:b w:val="1"/>
                <w:bCs w:val="1"/>
                <w:color w:val="auto"/>
              </w:rPr>
              <w:t>Shares of Common Stock</w:t>
            </w:r>
          </w:p>
        </w:tc>
      </w:tr>
      <w:tr>
        <w:trPr>
          <w:trHeight w:val="245"/>
        </w:trPr>
        <w:tc>
          <w:tcPr>
            <w:tcW w:w="280" w:type="dxa"/>
            <w:vAlign w:val="bottom"/>
          </w:tcPr>
          <w:p>
            <w:pPr>
              <w:spacing w:after="0"/>
              <w:rPr>
                <w:sz w:val="21"/>
                <w:szCs w:val="21"/>
                <w:color w:val="auto"/>
              </w:rPr>
            </w:pPr>
          </w:p>
        </w:tc>
        <w:tc>
          <w:tcPr>
            <w:tcW w:w="8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0" w:type="dxa"/>
            <w:vAlign w:val="bottom"/>
            <w:gridSpan w:val="4"/>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Beneficially Owned</w:t>
            </w:r>
          </w:p>
        </w:tc>
      </w:tr>
      <w:tr>
        <w:trPr>
          <w:trHeight w:val="236"/>
        </w:trPr>
        <w:tc>
          <w:tcPr>
            <w:tcW w:w="86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Name of Beneficial Owner</w:t>
            </w:r>
          </w:p>
        </w:tc>
        <w:tc>
          <w:tcPr>
            <w:tcW w:w="1340" w:type="dxa"/>
            <w:vAlign w:val="bottom"/>
            <w:tcBorders>
              <w:top w:val="single" w:sz="8" w:color="auto"/>
            </w:tcBorders>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10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160" w:type="dxa"/>
            <w:vAlign w:val="bottom"/>
          </w:tcPr>
          <w:p>
            <w:pPr>
              <w:spacing w:after="0"/>
              <w:rPr>
                <w:sz w:val="20"/>
                <w:szCs w:val="20"/>
                <w:color w:val="auto"/>
              </w:rPr>
            </w:pPr>
          </w:p>
        </w:tc>
      </w:tr>
      <w:tr>
        <w:trPr>
          <w:trHeight w:val="238"/>
        </w:trPr>
        <w:tc>
          <w:tcPr>
            <w:tcW w:w="85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5% Stockholders:</w:t>
            </w:r>
          </w:p>
        </w:tc>
        <w:tc>
          <w:tcPr>
            <w:tcW w:w="100" w:type="dxa"/>
            <w:vAlign w:val="bottom"/>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194"/>
        </w:trPr>
        <w:tc>
          <w:tcPr>
            <w:tcW w:w="8540" w:type="dxa"/>
            <w:vAlign w:val="bottom"/>
            <w:gridSpan w:val="2"/>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57"/>
        </w:trPr>
        <w:tc>
          <w:tcPr>
            <w:tcW w:w="8640" w:type="dxa"/>
            <w:vAlign w:val="bottom"/>
            <w:gridSpan w:val="3"/>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South Lake One LLC</w:t>
            </w:r>
            <w:r>
              <w:rPr>
                <w:rFonts w:ascii="Times New Roman" w:cs="Times New Roman" w:eastAsia="Times New Roman" w:hAnsi="Times New Roman"/>
                <w:sz w:val="29"/>
                <w:szCs w:val="29"/>
                <w:color w:val="auto"/>
                <w:vertAlign w:val="superscript"/>
              </w:rPr>
              <w:t>(2)</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1,486,759</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9.3%</w:t>
            </w:r>
          </w:p>
        </w:tc>
      </w:tr>
      <w:tr>
        <w:trPr>
          <w:trHeight w:val="256"/>
        </w:trPr>
        <w:tc>
          <w:tcPr>
            <w:tcW w:w="8640" w:type="dxa"/>
            <w:vAlign w:val="bottom"/>
            <w:gridSpan w:val="3"/>
          </w:tcPr>
          <w:p>
            <w:pPr>
              <w:ind w:left="180"/>
              <w:spacing w:after="0" w:line="256" w:lineRule="exact"/>
              <w:rPr>
                <w:sz w:val="20"/>
                <w:szCs w:val="20"/>
                <w:color w:val="auto"/>
              </w:rPr>
            </w:pPr>
            <w:r>
              <w:rPr>
                <w:rFonts w:ascii="Times New Roman" w:cs="Times New Roman" w:eastAsia="Times New Roman" w:hAnsi="Times New Roman"/>
                <w:sz w:val="18"/>
                <w:szCs w:val="18"/>
                <w:color w:val="auto"/>
              </w:rPr>
              <w:t>ARC Family Trust</w:t>
            </w:r>
            <w:r>
              <w:rPr>
                <w:rFonts w:ascii="Times New Roman" w:cs="Times New Roman" w:eastAsia="Times New Roman" w:hAnsi="Times New Roman"/>
                <w:sz w:val="29"/>
                <w:szCs w:val="29"/>
                <w:color w:val="auto"/>
                <w:vertAlign w:val="superscript"/>
              </w:rPr>
              <w:t>(3)</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1,174,086</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w:t>
            </w:r>
          </w:p>
        </w:tc>
      </w:tr>
      <w:tr>
        <w:trPr>
          <w:trHeight w:val="216"/>
        </w:trPr>
        <w:tc>
          <w:tcPr>
            <w:tcW w:w="8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Named Executive Officers and Directors:</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56"/>
        </w:trPr>
        <w:tc>
          <w:tcPr>
            <w:tcW w:w="8640" w:type="dxa"/>
            <w:vAlign w:val="bottom"/>
            <w:gridSpan w:val="3"/>
          </w:tcPr>
          <w:p>
            <w:pPr>
              <w:ind w:left="180"/>
              <w:spacing w:after="0" w:line="256" w:lineRule="exact"/>
              <w:rPr>
                <w:sz w:val="20"/>
                <w:szCs w:val="20"/>
                <w:color w:val="auto"/>
              </w:rPr>
            </w:pPr>
            <w:r>
              <w:rPr>
                <w:rFonts w:ascii="Times New Roman" w:cs="Times New Roman" w:eastAsia="Times New Roman" w:hAnsi="Times New Roman"/>
                <w:sz w:val="18"/>
                <w:szCs w:val="18"/>
                <w:color w:val="auto"/>
              </w:rPr>
              <w:t>Yann Brandt</w:t>
            </w:r>
            <w:r>
              <w:rPr>
                <w:rFonts w:ascii="Times New Roman" w:cs="Times New Roman" w:eastAsia="Times New Roman" w:hAnsi="Times New Roman"/>
                <w:sz w:val="29"/>
                <w:szCs w:val="29"/>
                <w:color w:val="auto"/>
                <w:vertAlign w:val="superscript"/>
              </w:rPr>
              <w:t>(4)</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310,271</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w:t>
            </w:r>
          </w:p>
        </w:tc>
      </w:tr>
      <w:tr>
        <w:trPr>
          <w:trHeight w:val="257"/>
        </w:trPr>
        <w:tc>
          <w:tcPr>
            <w:tcW w:w="8640" w:type="dxa"/>
            <w:vAlign w:val="bottom"/>
            <w:gridSpan w:val="3"/>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Sasan Aminpour</w:t>
            </w:r>
            <w:r>
              <w:rPr>
                <w:rFonts w:ascii="Times New Roman" w:cs="Times New Roman" w:eastAsia="Times New Roman" w:hAnsi="Times New Roman"/>
                <w:sz w:val="29"/>
                <w:szCs w:val="29"/>
                <w:color w:val="auto"/>
                <w:vertAlign w:val="superscript"/>
              </w:rPr>
              <w:t>(5)</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119,252</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8640" w:type="dxa"/>
            <w:vAlign w:val="bottom"/>
            <w:gridSpan w:val="3"/>
          </w:tcPr>
          <w:p>
            <w:pPr>
              <w:ind w:left="180"/>
              <w:spacing w:after="0" w:line="256" w:lineRule="exact"/>
              <w:rPr>
                <w:sz w:val="20"/>
                <w:szCs w:val="20"/>
                <w:color w:val="auto"/>
              </w:rPr>
            </w:pPr>
            <w:r>
              <w:rPr>
                <w:rFonts w:ascii="Times New Roman" w:cs="Times New Roman" w:eastAsia="Times New Roman" w:hAnsi="Times New Roman"/>
                <w:sz w:val="18"/>
                <w:szCs w:val="18"/>
                <w:color w:val="auto"/>
              </w:rPr>
              <w:t>Cathy Behnen</w:t>
            </w:r>
            <w:r>
              <w:rPr>
                <w:rFonts w:ascii="Times New Roman" w:cs="Times New Roman" w:eastAsia="Times New Roman" w:hAnsi="Times New Roman"/>
                <w:sz w:val="29"/>
                <w:szCs w:val="29"/>
                <w:color w:val="auto"/>
                <w:vertAlign w:val="superscript"/>
              </w:rPr>
              <w:t>(6)</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46,657</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8640" w:type="dxa"/>
            <w:vAlign w:val="bottom"/>
            <w:gridSpan w:val="3"/>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Patrick Cook</w:t>
            </w:r>
            <w:r>
              <w:rPr>
                <w:rFonts w:ascii="Times New Roman" w:cs="Times New Roman" w:eastAsia="Times New Roman" w:hAnsi="Times New Roman"/>
                <w:sz w:val="29"/>
                <w:szCs w:val="29"/>
                <w:color w:val="auto"/>
                <w:vertAlign w:val="superscript"/>
              </w:rPr>
              <w:t>(7)</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197,076</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r>
      <w:tr>
        <w:trPr>
          <w:trHeight w:val="256"/>
        </w:trPr>
        <w:tc>
          <w:tcPr>
            <w:tcW w:w="8640" w:type="dxa"/>
            <w:vAlign w:val="bottom"/>
            <w:gridSpan w:val="3"/>
          </w:tcPr>
          <w:p>
            <w:pPr>
              <w:ind w:left="180"/>
              <w:spacing w:after="0" w:line="256" w:lineRule="exact"/>
              <w:rPr>
                <w:sz w:val="20"/>
                <w:szCs w:val="20"/>
                <w:color w:val="auto"/>
              </w:rPr>
            </w:pPr>
            <w:r>
              <w:rPr>
                <w:rFonts w:ascii="Times New Roman" w:cs="Times New Roman" w:eastAsia="Times New Roman" w:hAnsi="Times New Roman"/>
                <w:sz w:val="18"/>
                <w:szCs w:val="18"/>
                <w:color w:val="auto"/>
              </w:rPr>
              <w:t>Shaker Sadasivam</w:t>
            </w:r>
            <w:r>
              <w:rPr>
                <w:rFonts w:ascii="Times New Roman" w:cs="Times New Roman" w:eastAsia="Times New Roman" w:hAnsi="Times New Roman"/>
                <w:sz w:val="29"/>
                <w:szCs w:val="29"/>
                <w:color w:val="auto"/>
                <w:vertAlign w:val="superscript"/>
              </w:rPr>
              <w:t>(8)</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1,530,280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9.6%</w:t>
            </w:r>
          </w:p>
        </w:tc>
      </w:tr>
      <w:tr>
        <w:trPr>
          <w:trHeight w:val="257"/>
        </w:trPr>
        <w:tc>
          <w:tcPr>
            <w:tcW w:w="8640" w:type="dxa"/>
            <w:vAlign w:val="bottom"/>
            <w:gridSpan w:val="3"/>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Anthony (Tony) Alvarez</w:t>
            </w:r>
            <w:r>
              <w:rPr>
                <w:rFonts w:ascii="Times New Roman" w:cs="Times New Roman" w:eastAsia="Times New Roman" w:hAnsi="Times New Roman"/>
                <w:sz w:val="29"/>
                <w:szCs w:val="29"/>
                <w:color w:val="auto"/>
                <w:vertAlign w:val="superscript"/>
              </w:rPr>
              <w:t>(9)</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25,450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8640" w:type="dxa"/>
            <w:vAlign w:val="bottom"/>
            <w:gridSpan w:val="3"/>
          </w:tcPr>
          <w:p>
            <w:pPr>
              <w:ind w:left="180"/>
              <w:spacing w:after="0" w:line="256" w:lineRule="exact"/>
              <w:rPr>
                <w:sz w:val="20"/>
                <w:szCs w:val="20"/>
                <w:color w:val="auto"/>
              </w:rPr>
            </w:pPr>
            <w:r>
              <w:rPr>
                <w:rFonts w:ascii="Times New Roman" w:cs="Times New Roman" w:eastAsia="Times New Roman" w:hAnsi="Times New Roman"/>
                <w:sz w:val="18"/>
                <w:szCs w:val="18"/>
                <w:color w:val="auto"/>
              </w:rPr>
              <w:t>Pablo Barahona</w:t>
            </w:r>
            <w:r>
              <w:rPr>
                <w:rFonts w:ascii="Times New Roman" w:cs="Times New Roman" w:eastAsia="Times New Roman" w:hAnsi="Times New Roman"/>
                <w:sz w:val="29"/>
                <w:szCs w:val="29"/>
                <w:color w:val="auto"/>
                <w:vertAlign w:val="superscript"/>
              </w:rPr>
              <w:t>(10)</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79,292</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8640" w:type="dxa"/>
            <w:vAlign w:val="bottom"/>
            <w:gridSpan w:val="3"/>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Anthony Carroll</w:t>
            </w:r>
            <w:r>
              <w:rPr>
                <w:rFonts w:ascii="Times New Roman" w:cs="Times New Roman" w:eastAsia="Times New Roman" w:hAnsi="Times New Roman"/>
                <w:sz w:val="29"/>
                <w:szCs w:val="29"/>
                <w:color w:val="auto"/>
                <w:vertAlign w:val="superscript"/>
              </w:rPr>
              <w:t>(11)</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65,638</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8640" w:type="dxa"/>
            <w:vAlign w:val="bottom"/>
            <w:gridSpan w:val="3"/>
          </w:tcPr>
          <w:p>
            <w:pPr>
              <w:ind w:left="180"/>
              <w:spacing w:after="0" w:line="256" w:lineRule="exact"/>
              <w:rPr>
                <w:sz w:val="20"/>
                <w:szCs w:val="20"/>
                <w:color w:val="auto"/>
              </w:rPr>
            </w:pPr>
            <w:r>
              <w:rPr>
                <w:rFonts w:ascii="Times New Roman" w:cs="Times New Roman" w:eastAsia="Times New Roman" w:hAnsi="Times New Roman"/>
                <w:sz w:val="18"/>
                <w:szCs w:val="18"/>
                <w:color w:val="auto"/>
              </w:rPr>
              <w:t>Ahmad Chatila</w:t>
            </w:r>
            <w:r>
              <w:rPr>
                <w:rFonts w:ascii="Times New Roman" w:cs="Times New Roman" w:eastAsia="Times New Roman" w:hAnsi="Times New Roman"/>
                <w:sz w:val="29"/>
                <w:szCs w:val="29"/>
                <w:color w:val="auto"/>
                <w:vertAlign w:val="superscript"/>
              </w:rPr>
              <w:t>(12)</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237,812</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r>
      <w:tr>
        <w:trPr>
          <w:trHeight w:val="256"/>
        </w:trPr>
        <w:tc>
          <w:tcPr>
            <w:tcW w:w="8640" w:type="dxa"/>
            <w:vAlign w:val="bottom"/>
            <w:gridSpan w:val="3"/>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Lisan Hung</w:t>
            </w:r>
            <w:r>
              <w:rPr>
                <w:rFonts w:ascii="Times New Roman" w:cs="Times New Roman" w:eastAsia="Times New Roman" w:hAnsi="Times New Roman"/>
                <w:sz w:val="29"/>
                <w:szCs w:val="29"/>
                <w:color w:val="auto"/>
                <w:vertAlign w:val="superscript"/>
              </w:rPr>
              <w:t>(13)</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46,208</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8640" w:type="dxa"/>
            <w:vAlign w:val="bottom"/>
            <w:gridSpan w:val="3"/>
          </w:tcPr>
          <w:p>
            <w:pPr>
              <w:ind w:left="180"/>
              <w:spacing w:after="0" w:line="256" w:lineRule="exact"/>
              <w:rPr>
                <w:sz w:val="20"/>
                <w:szCs w:val="20"/>
                <w:color w:val="auto"/>
              </w:rPr>
            </w:pPr>
            <w:r>
              <w:rPr>
                <w:rFonts w:ascii="Times New Roman" w:cs="Times New Roman" w:eastAsia="Times New Roman" w:hAnsi="Times New Roman"/>
                <w:sz w:val="18"/>
                <w:szCs w:val="18"/>
                <w:color w:val="auto"/>
              </w:rPr>
              <w:t>Darrell Jackson</w:t>
            </w:r>
            <w:r>
              <w:rPr>
                <w:rFonts w:ascii="Times New Roman" w:cs="Times New Roman" w:eastAsia="Times New Roman" w:hAnsi="Times New Roman"/>
                <w:sz w:val="29"/>
                <w:szCs w:val="29"/>
                <w:color w:val="auto"/>
                <w:vertAlign w:val="superscript"/>
              </w:rPr>
              <w:t>(14)</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13,567</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8640" w:type="dxa"/>
            <w:vAlign w:val="bottom"/>
            <w:gridSpan w:val="3"/>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David Springer</w:t>
            </w:r>
            <w:r>
              <w:rPr>
                <w:rFonts w:ascii="Times New Roman" w:cs="Times New Roman" w:eastAsia="Times New Roman" w:hAnsi="Times New Roman"/>
                <w:sz w:val="29"/>
                <w:szCs w:val="29"/>
                <w:color w:val="auto"/>
                <w:vertAlign w:val="superscript"/>
              </w:rPr>
              <w:t>(15)</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839,203</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5.3%</w:t>
            </w:r>
          </w:p>
        </w:tc>
      </w:tr>
      <w:tr>
        <w:trPr>
          <w:trHeight w:val="256"/>
        </w:trPr>
        <w:tc>
          <w:tcPr>
            <w:tcW w:w="8640" w:type="dxa"/>
            <w:vAlign w:val="bottom"/>
            <w:gridSpan w:val="3"/>
          </w:tcPr>
          <w:p>
            <w:pPr>
              <w:ind w:left="180"/>
              <w:spacing w:after="0" w:line="256" w:lineRule="exact"/>
              <w:rPr>
                <w:sz w:val="20"/>
                <w:szCs w:val="20"/>
                <w:color w:val="auto"/>
              </w:rPr>
            </w:pPr>
            <w:r>
              <w:rPr>
                <w:rFonts w:ascii="Times New Roman" w:cs="Times New Roman" w:eastAsia="Times New Roman" w:hAnsi="Times New Roman"/>
                <w:sz w:val="18"/>
                <w:szCs w:val="18"/>
                <w:color w:val="auto"/>
              </w:rPr>
              <w:t>Maximillian Sultan</w:t>
            </w:r>
            <w:r>
              <w:rPr>
                <w:rFonts w:ascii="Times New Roman" w:cs="Times New Roman" w:eastAsia="Times New Roman" w:hAnsi="Times New Roman"/>
                <w:sz w:val="29"/>
                <w:szCs w:val="29"/>
                <w:color w:val="auto"/>
                <w:vertAlign w:val="superscript"/>
              </w:rPr>
              <w:t>(16)</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All Named Executive Officers and Directors as a group (13 individuals)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3,510,706</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21.6%</w:t>
            </w:r>
          </w:p>
        </w:tc>
      </w:tr>
      <w:tr>
        <w:trPr>
          <w:trHeight w:val="432"/>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Less than one percent (1%)</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32"/>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8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[Reserved].</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pacing w:after="0" w:line="198" w:lineRule="exact"/>
        <w:rPr>
          <w:sz w:val="20"/>
          <w:szCs w:val="20"/>
          <w:color w:val="auto"/>
        </w:rPr>
      </w:pPr>
    </w:p>
    <w:p>
      <w:pPr>
        <w:jc w:val="both"/>
        <w:ind w:left="340" w:hanging="332"/>
        <w:spacing w:after="0" w:line="253"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Amendment No. 1 to Schedule 13G filed February 1, 2023 on behalf of South Lake One LLC (“South Lake One”), South Cone Investments Limited Partnership (“South Cone”), and South Lake Management LLC (“South Lake Management”). South Lake Management is controlled and managed by the Class A and Class B members of its Board of Managers whereby no member of the Board of Managers has direct or indirect control of South Lake Management, and no member of South Lake Management individually has the power to control South Lake Management or replace its Board of Managers. South Lake Management directly controls South Cone as its general partner with the power to manage South Cone. South Cone directly owns 100% of the issued and outstanding membership interest of South Lake One. South Lake One is managed by the Class A and Class B members of its Board of Managers whereby no member of the Board of Manager has direct or indirect control of South Lake One. South Cone, as the sole member of South Lake One, has the power to control South Lake One and replace its Board of Managers. South Lake One directly holds an aggregate of 1,486,759 shares (post-split basis) of our common stock. South Cone and South Lake Management each indirectly holds an aggregate of 1,486,759 shares (post-split basis) of our common stock. The principal business address for South Lake One, South Cone and South Lake Management is 5711 Pdte. Riesco, Office No. 1603, Las Condes, Santiago, Chile.</w:t>
      </w:r>
    </w:p>
    <w:p>
      <w:pPr>
        <w:spacing w:after="0" w:line="191" w:lineRule="exact"/>
        <w:rPr>
          <w:rFonts w:ascii="Times New Roman" w:cs="Times New Roman" w:eastAsia="Times New Roman" w:hAnsi="Times New Roman"/>
          <w:sz w:val="18"/>
          <w:szCs w:val="18"/>
          <w:color w:val="auto"/>
        </w:rPr>
      </w:pPr>
    </w:p>
    <w:p>
      <w:pPr>
        <w:jc w:val="both"/>
        <w:ind w:left="340" w:hanging="332"/>
        <w:spacing w:after="0" w:line="256"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ARC Family Trust was established by Mr. Chatila for the benefit of certain members of his family. Based on Amendment No. 3 of Schedule 13G filed February 14, 2025, Mr. Shaker Sadasivam, the Chair of our Board of Directors, is the trustee of the ARC Family Trust and has shared voting and dispositive power with respect to the shares of common stock held by ARC Family Trust. As of April 28, 2026, Mr. Sadasivam had sole voting and dispositive power with respect to an additional 347,149 shares of common stock currently held and 9,045 shares of common stock to be issued from the settlement of RSUs that will vest within 60 days of April 28, 2026 (see footnote (3) below). The address of this stockholder is 20 Montchanin Road, Suite 100, Greenville, DE 19807.</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ind w:left="340" w:hanging="332"/>
        <w:spacing w:after="0" w:line="282"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234,752 shares of common stock held by Mr. Brandt, (ii) 24,999 shares of common stock to be issued from the settlement of RSUs that have vested, and (iii) 50,520 shares of common stock that will vest within 60 days of April 28, 2026 held by Mr. Brandt.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88,081 shares of common stock held by Mr. Aminpour, (ii) 3,168 shares of common stock to be issued from the settlement of RSUs that have vested, (iii) 12,878 shares of common stock to be issued from the settlement of performance unit RSUs that have vested, and (iv) 15,125 shares of common stock to be issued from the settlement of RSUs that will vest within 60 days of April 28, 2026, held by Mr. Aminpour.</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29,359 shares of common stock held by Ms. Behnen, (ii) 2,528 shares of common stock to be issued from the settlement of RSUs that have vested, and (iii) 14,770 shares of common stock to be issued from the settlement of RSUs that will vest within 60 days of April 28, 2026, held by Ms. Behnen.</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56"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25,121 shares of common stock held by Mr. Cook, (ii) options for 20,375 shares of common stock that have vested as of April 28, 2026, but have not yet been exercised, held by Mr. Cook, (iii) 878 shares of common stock to be issued from the settlement of RSUs that have vested, (iv) 21,645 shares of common stock to be issued from the settlement of RSUs that will vest within 60 days of April 28, 2026, held by Mr. Cook, (v) 110,197 shares of common stock held by the Etnyre 2021 Family Trust, of which Mr. Cook is trustee, (vi) 9,430 shares of common stock held by the Cook 2021 Family Trust, of which Mr. Cook is trustee, and (vii) 9,430 shares of common stock held by the Patrick Cook 2021 Trust, of which Mr. Cook is trustee.</w:t>
      </w:r>
    </w:p>
    <w:p>
      <w:pPr>
        <w:spacing w:after="0" w:line="187" w:lineRule="exact"/>
        <w:rPr>
          <w:rFonts w:ascii="Times New Roman" w:cs="Times New Roman" w:eastAsia="Times New Roman" w:hAnsi="Times New Roman"/>
          <w:sz w:val="18"/>
          <w:szCs w:val="18"/>
          <w:color w:val="auto"/>
        </w:rPr>
      </w:pPr>
    </w:p>
    <w:p>
      <w:pPr>
        <w:jc w:val="both"/>
        <w:ind w:left="340" w:hanging="332"/>
        <w:spacing w:after="0" w:line="254"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1,174,086 shares of common stock held by the ARC Family Trust, (ii) 45,439 shares of common stock held by Mr. Sadasivam, (iii) 301,710 shares of common stock held by ChristSivam, LLC, and (iv) 9,045 shares of common stock to be issued from the settlement of RSUs that will vest within 60 days of April 28, 2026 held by Mr. Sadasivam. Mr. Sadasivam is the trustee of the ARC Family Trust and has shared voting and dispositive power with respect to the shares of common stock held by ARC Family Trust. Mr. Sadasivam is also the Manager of ChristSivam, LLC and has sole voting and dispositive power with respect to the shares of common stock held by ChristSivam, LLC. See also above footnote (4) for further information about ARC Family Trust. Mr. Sadasivam has no pecuniary interest in any shares of common stock held by ARC Family Trust and therefore disclaims beneficial ownership of any such shares for purposes of Section 16 of the Exchange Act. The address of this stockholder is 1950 Pine Run Drive, Chesterfield, MO 63108.</w:t>
      </w:r>
    </w:p>
    <w:p>
      <w:pPr>
        <w:spacing w:after="0" w:line="19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25,450 shares of common stock held by Mr. Alvarez.</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70,247 shares of common stock held by Mr. Barahona, and (ii) 9,045 shares of common stock to be issued from settlement of RSUs that will vest within 60 days of April 28, 2026, held by Mr. Barahona.</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20,638 shares of common stock held by Mr. Carroll, and (ii) options for 45,000 shares of common stock that have vested as of April 28, 2026, held by Mr. Carroll.</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228,767 shares of common stock held by Mr. Chatila, and (ii) 9,045 shares of common stock to be issued from settlement of RSUs that have vested as of April 28, 2026, held by Mr. Chatila.</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37,163 shares of common stock held by Mr. Hung, and (ii) 9,045 shares of common stock to be issued from the settlement of RSUs that will vest within 60 days of April 28, 2026, held by Ms. Hung.</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13,567 shares of common stock to be issued from the settlement of RSUs that will vest within 60 days of April 28, 2026, held by Mr. Jackson.</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54"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680,177 shares of common stock held by Mr. Springer, (ii) 9,045 shares of common stock to be issued from the settlement of RSUs that will vest within 60 days of April 28, 2026, held by Mr. Springer, (iii) 49,136 shares of common stock held by the DS 2022 GRAT, (iv) 33,615 shares of common stock held by ZS 2021 Trust, (v) 33,615 shares of common stock held by NS 2021 Trust, and (vi) 33,615 shares of common stock held by AS 2021 Trust. As stated in Amendment No. 3 to Schedule 13G filed February 14, 2025, with respect to the DS 2022 GRAT, Mr. Springer is (a) the sole trustee, (b) has sole voting and dispositive power with respect to the shares of common stock held by the trust and (c) has sole power to acquire for himself any asset held in the trust, including the shares of common stock, by substituting other property of equivalent value. With respect to the ZS 2021 Trust, the NS 2021 Trust and the AS 2021 Trust, Mr. Springer has sole power to acquire for himself any asset held in the trust, including the shares of common stock, by substituting other property of equivalent value.</w:t>
      </w:r>
    </w:p>
    <w:p>
      <w:pPr>
        <w:spacing w:after="0" w:line="19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Sultan was nominated to the Board by AV Securities, Inc. pursuant to the terms of the Promissory Note placement which closed in December 2024. As such, the Company does not compensate Mr. Sultan for his service on the Board of Directors.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 and Financial Statement Schedules.</w:t>
      </w:r>
    </w:p>
    <w:p>
      <w:pPr>
        <w:spacing w:after="0" w:line="229" w:lineRule="exact"/>
        <w:rPr>
          <w:sz w:val="20"/>
          <w:szCs w:val="20"/>
          <w:color w:val="auto"/>
        </w:rPr>
      </w:pPr>
    </w:p>
    <w:p>
      <w:pPr>
        <w:ind w:left="260" w:hanging="252"/>
        <w:spacing w:after="0"/>
        <w:tabs>
          <w:tab w:leader="none" w:pos="2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Documents filed as part of this Annual Report.</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903"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 No financial statements are filed with this Amendment No. 2. The financial statements and notes thereto were included as part of the Original Form 10-K.</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903"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Financial Statements Schedules</w:t>
      </w:r>
      <w:r>
        <w:rPr>
          <w:rFonts w:ascii="Times New Roman" w:cs="Times New Roman" w:eastAsia="Times New Roman" w:hAnsi="Times New Roman"/>
          <w:sz w:val="18"/>
          <w:szCs w:val="18"/>
          <w:color w:val="auto"/>
        </w:rPr>
        <w:t>. Financial statement schedules have been omitted because they are either not required, not applicable, or the information is otherwise included in the Original Form 10-K.</w:t>
      </w:r>
    </w:p>
    <w:p>
      <w:pPr>
        <w:spacing w:after="0" w:line="16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exhibits listed on the accompanying Exhibit Index are filed as part of, or incorporated by reference into, this Amendment No. 2.</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 w:name="page9"/>
    <w:bookmarkEnd w:id="8"/>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Exhibit Index</w:t>
      </w:r>
    </w:p>
    <w:p>
      <w:pPr>
        <w:sectPr>
          <w:pgSz w:w="11900" w:h="16838" w:orient="portrait"/>
          <w:cols w:equalWidth="0" w:num="1">
            <w:col w:w="11100"/>
          </w:cols>
          <w:pgMar w:left="460" w:top="333" w:right="339" w:bottom="1440" w:gutter="0" w:footer="0" w:header="0"/>
        </w:sectPr>
      </w:pP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Number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jc w:val="center"/>
        <w:ind w:right="4660"/>
        <w:spacing w:after="0"/>
        <w:rPr>
          <w:sz w:val="20"/>
          <w:szCs w:val="20"/>
          <w:color w:val="auto"/>
        </w:rPr>
      </w:pP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-3601085</wp:posOffset>
            </wp:positionH>
            <wp:positionV relativeFrom="paragraph">
              <wp:posOffset>19685</wp:posOffset>
            </wp:positionV>
            <wp:extent cx="7132320" cy="2914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40" w:lineRule="exact"/>
        <w:rPr>
          <w:sz w:val="20"/>
          <w:szCs w:val="20"/>
          <w:color w:val="auto"/>
        </w:rPr>
      </w:pPr>
    </w:p>
    <w:p>
      <w:pPr>
        <w:sectPr>
          <w:pgSz w:w="11900" w:h="16838" w:orient="portrait"/>
          <w:cols w:equalWidth="0" w:num="2">
            <w:col w:w="4820" w:space="720"/>
            <w:col w:w="5560"/>
          </w:cols>
          <w:pgMar w:left="460" w:top="333" w:right="339" w:bottom="1440" w:gutter="0" w:footer="0" w:header="0"/>
          <w:type w:val="continuous"/>
        </w:sectPr>
      </w:pPr>
    </w:p>
    <w:p>
      <w:pPr>
        <w:jc w:val="both"/>
        <w:ind w:left="880" w:hanging="672"/>
        <w:spacing w:after="0" w:line="261" w:lineRule="auto"/>
        <w:tabs>
          <w:tab w:leader="none" w:pos="8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3.1</w:t>
      </w:r>
      <w:r>
        <w:rPr>
          <w:sz w:val="20"/>
          <w:szCs w:val="20"/>
          <w:color w:val="auto"/>
        </w:rPr>
        <w:tab/>
      </w:r>
      <w:hyperlink r:id="rId27">
        <w:r>
          <w:rPr>
            <w:rFonts w:ascii="Times New Roman" w:cs="Times New Roman" w:eastAsia="Times New Roman" w:hAnsi="Times New Roman"/>
            <w:sz w:val="18"/>
            <w:szCs w:val="18"/>
            <w:u w:val="single" w:color="auto"/>
            <w:color w:val="0000EE"/>
          </w:rPr>
          <w:t>Amended and Restated Certificate of Incorporation of FTC Solar, Inc. (filed as Exhibit 3.1 to the Registrant’s Current Report on Form 8-K</w:t>
        </w:r>
      </w:hyperlink>
      <w:r>
        <w:rPr>
          <w:rFonts w:ascii="Times New Roman" w:cs="Times New Roman" w:eastAsia="Times New Roman" w:hAnsi="Times New Roman"/>
          <w:sz w:val="18"/>
          <w:szCs w:val="18"/>
          <w:u w:val="single" w:color="auto"/>
          <w:color w:val="0000EE"/>
        </w:rPr>
        <w:t xml:space="preserve"> </w:t>
      </w:r>
      <w:hyperlink r:id="rId27">
        <w:r>
          <w:rPr>
            <w:rFonts w:ascii="Times New Roman" w:cs="Times New Roman" w:eastAsia="Times New Roman" w:hAnsi="Times New Roman"/>
            <w:sz w:val="18"/>
            <w:szCs w:val="18"/>
            <w:u w:val="single" w:color="auto"/>
            <w:color w:val="0000EE"/>
          </w:rPr>
          <w:t>filed with the Securities and Exchange Commission on May 3, 2021 and incorporated herein by reference)</w:t>
        </w:r>
      </w:hyperlink>
    </w:p>
    <w:p>
      <w:pPr>
        <w:jc w:val="both"/>
        <w:ind w:left="880" w:hanging="672"/>
        <w:spacing w:after="0" w:line="250" w:lineRule="auto"/>
        <w:tabs>
          <w:tab w:leader="none" w:pos="8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3.2</w:t>
      </w:r>
      <w:r>
        <w:rPr>
          <w:sz w:val="20"/>
          <w:szCs w:val="20"/>
          <w:color w:val="auto"/>
        </w:rPr>
        <w:tab/>
      </w:r>
      <w:hyperlink r:id="rId28">
        <w:r>
          <w:rPr>
            <w:rFonts w:ascii="Times New Roman" w:cs="Times New Roman" w:eastAsia="Times New Roman" w:hAnsi="Times New Roman"/>
            <w:sz w:val="18"/>
            <w:szCs w:val="18"/>
            <w:u w:val="single" w:color="auto"/>
            <w:color w:val="0000EE"/>
          </w:rPr>
          <w:t>Certificate of Correction of Amended and Restated Certificate of Incorporation (filed as Exhibit 3.3 to the Registrant’s Quarterly Report on</w:t>
        </w:r>
      </w:hyperlink>
      <w:r>
        <w:rPr>
          <w:rFonts w:ascii="Times New Roman" w:cs="Times New Roman" w:eastAsia="Times New Roman" w:hAnsi="Times New Roman"/>
          <w:sz w:val="18"/>
          <w:szCs w:val="18"/>
          <w:u w:val="single" w:color="auto"/>
          <w:color w:val="0000EE"/>
        </w:rPr>
        <w:t xml:space="preserve"> </w:t>
      </w:r>
      <w:hyperlink r:id="rId28">
        <w:r>
          <w:rPr>
            <w:rFonts w:ascii="Times New Roman" w:cs="Times New Roman" w:eastAsia="Times New Roman" w:hAnsi="Times New Roman"/>
            <w:sz w:val="18"/>
            <w:szCs w:val="18"/>
            <w:u w:val="single" w:color="auto"/>
            <w:color w:val="0000EE"/>
          </w:rPr>
          <w:t>Form 10-Q filed with the Securities and Exchange Commission on June 8, 2021 and incorporated herein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635</wp:posOffset>
            </wp:positionV>
            <wp:extent cx="7132320" cy="2743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jc w:val="both"/>
        <w:ind w:left="880" w:right="20" w:hanging="672"/>
        <w:spacing w:after="0" w:line="250" w:lineRule="auto"/>
        <w:tabs>
          <w:tab w:leader="none" w:pos="8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3.3</w:t>
      </w:r>
      <w:r>
        <w:rPr>
          <w:sz w:val="20"/>
          <w:szCs w:val="20"/>
          <w:color w:val="auto"/>
        </w:rPr>
        <w:tab/>
      </w:r>
      <w:hyperlink r:id="rId30">
        <w:r>
          <w:rPr>
            <w:rFonts w:ascii="Times New Roman" w:cs="Times New Roman" w:eastAsia="Times New Roman" w:hAnsi="Times New Roman"/>
            <w:sz w:val="18"/>
            <w:szCs w:val="18"/>
            <w:u w:val="single" w:color="auto"/>
            <w:color w:val="0000EE"/>
          </w:rPr>
          <w:t>Certificate of Amendment to the Amended and Restated Certificate of Incorporation (filed as Exhibit 3.1 to the Registrant’s Current Report</w:t>
        </w:r>
      </w:hyperlink>
      <w:r>
        <w:rPr>
          <w:rFonts w:ascii="Times New Roman" w:cs="Times New Roman" w:eastAsia="Times New Roman" w:hAnsi="Times New Roman"/>
          <w:sz w:val="18"/>
          <w:szCs w:val="18"/>
          <w:u w:val="single" w:color="auto"/>
          <w:color w:val="0000EE"/>
        </w:rPr>
        <w:t xml:space="preserve"> </w:t>
      </w:r>
      <w:hyperlink r:id="rId30">
        <w:r>
          <w:rPr>
            <w:rFonts w:ascii="Times New Roman" w:cs="Times New Roman" w:eastAsia="Times New Roman" w:hAnsi="Times New Roman"/>
            <w:sz w:val="18"/>
            <w:szCs w:val="18"/>
            <w:u w:val="single" w:color="auto"/>
            <w:color w:val="0000EE"/>
          </w:rPr>
          <w:t>on Form 8-K filed with the Securities and Exchange Commission on November 27, 2024 and incorporated herein by reference)</w:t>
        </w:r>
      </w:hyperlink>
    </w:p>
    <w:p>
      <w:pPr>
        <w:spacing w:after="0" w:line="1" w:lineRule="exact"/>
        <w:rPr>
          <w:sz w:val="20"/>
          <w:szCs w:val="20"/>
          <w:color w:val="auto"/>
        </w:rPr>
      </w:pPr>
    </w:p>
    <w:p>
      <w:pPr>
        <w:jc w:val="both"/>
        <w:ind w:left="880" w:hanging="672"/>
        <w:spacing w:after="0" w:line="250" w:lineRule="auto"/>
        <w:tabs>
          <w:tab w:leader="none" w:pos="8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3.4</w:t>
      </w:r>
      <w:r>
        <w:rPr>
          <w:sz w:val="20"/>
          <w:szCs w:val="20"/>
          <w:color w:val="auto"/>
        </w:rPr>
        <w:tab/>
      </w:r>
      <w:hyperlink r:id="rId31">
        <w:r>
          <w:rPr>
            <w:rFonts w:ascii="Times New Roman" w:cs="Times New Roman" w:eastAsia="Times New Roman" w:hAnsi="Times New Roman"/>
            <w:sz w:val="18"/>
            <w:szCs w:val="18"/>
            <w:u w:val="single" w:color="auto"/>
            <w:color w:val="0000EE"/>
          </w:rPr>
          <w:t>Amended and Restated Bylaws of FTC Solar, Inc. (filed as Exhibit 3.2 to the Registrant’s Current Report on Form 8-K filed with the</w:t>
        </w:r>
      </w:hyperlink>
      <w:r>
        <w:rPr>
          <w:rFonts w:ascii="Times New Roman" w:cs="Times New Roman" w:eastAsia="Times New Roman" w:hAnsi="Times New Roman"/>
          <w:sz w:val="18"/>
          <w:szCs w:val="18"/>
          <w:u w:val="single" w:color="auto"/>
          <w:color w:val="0000EE"/>
        </w:rPr>
        <w:t xml:space="preserve"> </w:t>
      </w:r>
      <w:hyperlink r:id="rId31">
        <w:r>
          <w:rPr>
            <w:rFonts w:ascii="Times New Roman" w:cs="Times New Roman" w:eastAsia="Times New Roman" w:hAnsi="Times New Roman"/>
            <w:sz w:val="18"/>
            <w:szCs w:val="18"/>
            <w:u w:val="single" w:color="auto"/>
            <w:color w:val="0000EE"/>
          </w:rPr>
          <w:t>Securities and Exchange Commission on May 3, 2021 and incorporated herein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635</wp:posOffset>
            </wp:positionV>
            <wp:extent cx="7132320" cy="2743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2">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jc w:val="both"/>
        <w:ind w:left="880" w:hanging="672"/>
        <w:spacing w:after="0" w:line="250" w:lineRule="auto"/>
        <w:tabs>
          <w:tab w:leader="none" w:pos="8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4.1</w:t>
      </w:r>
      <w:r>
        <w:rPr>
          <w:sz w:val="20"/>
          <w:szCs w:val="20"/>
          <w:color w:val="auto"/>
        </w:rPr>
        <w:tab/>
      </w:r>
      <w:hyperlink r:id="rId33">
        <w:r>
          <w:rPr>
            <w:rFonts w:ascii="Times New Roman" w:cs="Times New Roman" w:eastAsia="Times New Roman" w:hAnsi="Times New Roman"/>
            <w:sz w:val="18"/>
            <w:szCs w:val="18"/>
            <w:u w:val="single" w:color="auto"/>
            <w:color w:val="0000EE"/>
          </w:rPr>
          <w:t>Specimen Common Stock Certificate (filed as Exhibit 4.1 to the Registrant’s Registration Statement on Form S-1 filed with the Securities</w:t>
        </w:r>
      </w:hyperlink>
      <w:r>
        <w:rPr>
          <w:rFonts w:ascii="Times New Roman" w:cs="Times New Roman" w:eastAsia="Times New Roman" w:hAnsi="Times New Roman"/>
          <w:sz w:val="18"/>
          <w:szCs w:val="18"/>
          <w:u w:val="single" w:color="auto"/>
          <w:color w:val="0000EE"/>
        </w:rPr>
        <w:t xml:space="preserve"> </w:t>
      </w:r>
      <w:hyperlink r:id="rId33">
        <w:r>
          <w:rPr>
            <w:rFonts w:ascii="Times New Roman" w:cs="Times New Roman" w:eastAsia="Times New Roman" w:hAnsi="Times New Roman"/>
            <w:sz w:val="18"/>
            <w:szCs w:val="18"/>
            <w:u w:val="single" w:color="auto"/>
            <w:color w:val="0000EE"/>
          </w:rPr>
          <w:t>Exchange Commission on April 19, 2021 and incorporated herein by reference)</w:t>
        </w:r>
      </w:hyperlink>
    </w:p>
    <w:p>
      <w:pPr>
        <w:spacing w:after="0" w:line="1" w:lineRule="exact"/>
        <w:rPr>
          <w:sz w:val="20"/>
          <w:szCs w:val="20"/>
          <w:color w:val="auto"/>
        </w:rPr>
      </w:pPr>
    </w:p>
    <w:p>
      <w:pPr>
        <w:jc w:val="both"/>
        <w:ind w:left="880" w:hanging="672"/>
        <w:spacing w:after="0" w:line="250" w:lineRule="auto"/>
        <w:tabs>
          <w:tab w:leader="none" w:pos="8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4.2</w:t>
      </w:r>
      <w:r>
        <w:rPr>
          <w:sz w:val="20"/>
          <w:szCs w:val="20"/>
          <w:color w:val="auto"/>
        </w:rPr>
        <w:tab/>
      </w:r>
      <w:hyperlink r:id="rId34">
        <w:r>
          <w:rPr>
            <w:rFonts w:ascii="Times New Roman" w:cs="Times New Roman" w:eastAsia="Times New Roman" w:hAnsi="Times New Roman"/>
            <w:sz w:val="18"/>
            <w:szCs w:val="18"/>
            <w:u w:val="single" w:color="auto"/>
            <w:color w:val="0000EE"/>
          </w:rPr>
          <w:t>Description of Registrant’s Securities (filed as Exhibit 4.2 to the Registrant’s Annual Report on Form 10-K filed with the Securities and</w:t>
        </w:r>
      </w:hyperlink>
      <w:r>
        <w:rPr>
          <w:rFonts w:ascii="Times New Roman" w:cs="Times New Roman" w:eastAsia="Times New Roman" w:hAnsi="Times New Roman"/>
          <w:sz w:val="18"/>
          <w:szCs w:val="18"/>
          <w:u w:val="single" w:color="auto"/>
          <w:color w:val="0000EE"/>
        </w:rPr>
        <w:t xml:space="preserve"> </w:t>
      </w:r>
      <w:hyperlink r:id="rId34">
        <w:r>
          <w:rPr>
            <w:rFonts w:ascii="Times New Roman" w:cs="Times New Roman" w:eastAsia="Times New Roman" w:hAnsi="Times New Roman"/>
            <w:sz w:val="18"/>
            <w:szCs w:val="18"/>
            <w:u w:val="single" w:color="auto"/>
            <w:color w:val="0000EE"/>
          </w:rPr>
          <w:t>Exchange Commission on March 21, 2022 and incorporated herein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635</wp:posOffset>
            </wp:positionV>
            <wp:extent cx="7132320" cy="4114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jc w:val="both"/>
        <w:ind w:left="880" w:hanging="672"/>
        <w:spacing w:after="0" w:line="250" w:lineRule="auto"/>
        <w:tabs>
          <w:tab w:leader="none" w:pos="8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4.3</w:t>
      </w:r>
      <w:r>
        <w:rPr>
          <w:sz w:val="20"/>
          <w:szCs w:val="20"/>
          <w:color w:val="auto"/>
        </w:rPr>
        <w:tab/>
      </w:r>
      <w:hyperlink r:id="rId36">
        <w:r>
          <w:rPr>
            <w:rFonts w:ascii="Times New Roman" w:cs="Times New Roman" w:eastAsia="Times New Roman" w:hAnsi="Times New Roman"/>
            <w:sz w:val="18"/>
            <w:szCs w:val="18"/>
            <w:u w:val="single" w:color="auto"/>
            <w:color w:val="0000EE"/>
          </w:rPr>
          <w:t>Amended and Restated Promissory Note dated July 2, 2025 between FTC Solar, Inc. and AV Securities, Inc. (filed as Exhibit 4.1 to the</w:t>
        </w:r>
      </w:hyperlink>
      <w:r>
        <w:rPr>
          <w:rFonts w:ascii="Times New Roman" w:cs="Times New Roman" w:eastAsia="Times New Roman" w:hAnsi="Times New Roman"/>
          <w:sz w:val="18"/>
          <w:szCs w:val="18"/>
          <w:u w:val="single" w:color="auto"/>
          <w:color w:val="0000EE"/>
        </w:rPr>
        <w:t xml:space="preserve"> </w:t>
      </w:r>
      <w:hyperlink r:id="rId36">
        <w:r>
          <w:rPr>
            <w:rFonts w:ascii="Times New Roman" w:cs="Times New Roman" w:eastAsia="Times New Roman" w:hAnsi="Times New Roman"/>
            <w:sz w:val="18"/>
            <w:szCs w:val="18"/>
            <w:u w:val="single" w:color="auto"/>
            <w:color w:val="0000EE"/>
          </w:rPr>
          <w:t>Registrant’s Current Report on Form 8-K filed with the Securities and Exchange Commission on July 7,2025 and incorporated herein by</w:t>
        </w:r>
      </w:hyperlink>
      <w:r>
        <w:rPr>
          <w:rFonts w:ascii="Times New Roman" w:cs="Times New Roman" w:eastAsia="Times New Roman" w:hAnsi="Times New Roman"/>
          <w:sz w:val="18"/>
          <w:szCs w:val="18"/>
          <w:u w:val="single" w:color="auto"/>
          <w:color w:val="0000EE"/>
        </w:rPr>
        <w:t xml:space="preserve"> </w:t>
      </w:r>
      <w:hyperlink r:id="rId36">
        <w:r>
          <w:rPr>
            <w:rFonts w:ascii="Times New Roman" w:cs="Times New Roman" w:eastAsia="Times New Roman" w:hAnsi="Times New Roman"/>
            <w:sz w:val="18"/>
            <w:szCs w:val="18"/>
            <w:u w:val="single" w:color="auto"/>
            <w:color w:val="0000EE"/>
          </w:rPr>
          <w:t>reference)</w:t>
        </w:r>
      </w:hyperlink>
    </w:p>
    <w:p>
      <w:pPr>
        <w:spacing w:after="0" w:line="1" w:lineRule="exact"/>
        <w:rPr>
          <w:rFonts w:ascii="Times New Roman" w:cs="Times New Roman" w:eastAsia="Times New Roman" w:hAnsi="Times New Roman"/>
          <w:sz w:val="18"/>
          <w:szCs w:val="18"/>
          <w:u w:val="single" w:color="auto"/>
          <w:color w:val="0000EE"/>
        </w:rPr>
      </w:pPr>
    </w:p>
    <w:p>
      <w:pPr>
        <w:jc w:val="both"/>
        <w:ind w:left="880" w:hanging="672"/>
        <w:spacing w:after="0" w:line="250" w:lineRule="auto"/>
        <w:tabs>
          <w:tab w:leader="none" w:pos="8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4.4</w:t>
      </w:r>
      <w:r>
        <w:rPr>
          <w:sz w:val="20"/>
          <w:szCs w:val="20"/>
          <w:color w:val="auto"/>
        </w:rPr>
        <w:tab/>
      </w:r>
      <w:hyperlink r:id="rId37">
        <w:r>
          <w:rPr>
            <w:rFonts w:ascii="Times New Roman" w:cs="Times New Roman" w:eastAsia="Times New Roman" w:hAnsi="Times New Roman"/>
            <w:sz w:val="18"/>
            <w:szCs w:val="18"/>
            <w:u w:val="single" w:color="auto"/>
            <w:color w:val="0000EE"/>
          </w:rPr>
          <w:t>Form of Warrant to Purchase Common Stock (filed as Exhibit 4.2 to the Registrant’s Current Report on Form 8-K filed with the Securities</w:t>
        </w:r>
      </w:hyperlink>
      <w:r>
        <w:rPr>
          <w:rFonts w:ascii="Times New Roman" w:cs="Times New Roman" w:eastAsia="Times New Roman" w:hAnsi="Times New Roman"/>
          <w:sz w:val="18"/>
          <w:szCs w:val="18"/>
          <w:u w:val="single" w:color="auto"/>
          <w:color w:val="0000EE"/>
        </w:rPr>
        <w:t xml:space="preserve"> </w:t>
      </w:r>
      <w:hyperlink r:id="rId37">
        <w:r>
          <w:rPr>
            <w:rFonts w:ascii="Times New Roman" w:cs="Times New Roman" w:eastAsia="Times New Roman" w:hAnsi="Times New Roman"/>
            <w:sz w:val="18"/>
            <w:szCs w:val="18"/>
            <w:u w:val="single" w:color="auto"/>
            <w:color w:val="0000EE"/>
          </w:rPr>
          <w:t>and Exchange Commission on July 7, 2025 and incorporated herein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635</wp:posOffset>
            </wp:positionV>
            <wp:extent cx="7132320" cy="4114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8">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jc w:val="both"/>
        <w:ind w:left="880" w:hanging="672"/>
        <w:spacing w:after="0" w:line="250" w:lineRule="auto"/>
        <w:tabs>
          <w:tab w:leader="none" w:pos="8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4.5</w:t>
      </w:r>
      <w:r>
        <w:rPr>
          <w:sz w:val="20"/>
          <w:szCs w:val="20"/>
          <w:color w:val="auto"/>
        </w:rPr>
        <w:tab/>
      </w:r>
      <w:hyperlink r:id="rId39">
        <w:r>
          <w:rPr>
            <w:rFonts w:ascii="Times New Roman" w:cs="Times New Roman" w:eastAsia="Times New Roman" w:hAnsi="Times New Roman"/>
            <w:sz w:val="18"/>
            <w:szCs w:val="18"/>
            <w:u w:val="single" w:color="auto"/>
            <w:color w:val="0000EE"/>
          </w:rPr>
          <w:t>Amended and Restated Warrant to Purchase Common Stock dated July 2, 2025 between FTC Solar, Inc. and AV Securities, Inc. (filed as</w:t>
        </w:r>
      </w:hyperlink>
      <w:r>
        <w:rPr>
          <w:rFonts w:ascii="Times New Roman" w:cs="Times New Roman" w:eastAsia="Times New Roman" w:hAnsi="Times New Roman"/>
          <w:sz w:val="18"/>
          <w:szCs w:val="18"/>
          <w:u w:val="single" w:color="auto"/>
          <w:color w:val="0000EE"/>
        </w:rPr>
        <w:t xml:space="preserve"> </w:t>
      </w:r>
      <w:hyperlink r:id="rId39">
        <w:r>
          <w:rPr>
            <w:rFonts w:ascii="Times New Roman" w:cs="Times New Roman" w:eastAsia="Times New Roman" w:hAnsi="Times New Roman"/>
            <w:sz w:val="18"/>
            <w:szCs w:val="18"/>
            <w:u w:val="single" w:color="auto"/>
            <w:color w:val="0000EE"/>
          </w:rPr>
          <w:t>Exhibit 4.3 to the Registrant’s Current Report on Form 8-K filed with the Securities and Exchange Commission on July 7, 2025 and</w:t>
        </w:r>
      </w:hyperlink>
      <w:r>
        <w:rPr>
          <w:rFonts w:ascii="Times New Roman" w:cs="Times New Roman" w:eastAsia="Times New Roman" w:hAnsi="Times New Roman"/>
          <w:sz w:val="18"/>
          <w:szCs w:val="18"/>
          <w:u w:val="single" w:color="auto"/>
          <w:color w:val="0000EE"/>
        </w:rPr>
        <w:t xml:space="preserve"> </w:t>
      </w:r>
      <w:hyperlink r:id="rId39">
        <w:r>
          <w:rPr>
            <w:rFonts w:ascii="Times New Roman" w:cs="Times New Roman" w:eastAsia="Times New Roman" w:hAnsi="Times New Roman"/>
            <w:sz w:val="18"/>
            <w:szCs w:val="18"/>
            <w:u w:val="single" w:color="auto"/>
            <w:color w:val="0000EE"/>
          </w:rPr>
          <w:t>incorporated herein by reference)</w:t>
        </w:r>
      </w:hyperlink>
    </w:p>
    <w:p>
      <w:pPr>
        <w:spacing w:after="0" w:line="1" w:lineRule="exact"/>
        <w:rPr>
          <w:rFonts w:ascii="Times New Roman" w:cs="Times New Roman" w:eastAsia="Times New Roman" w:hAnsi="Times New Roman"/>
          <w:sz w:val="18"/>
          <w:szCs w:val="18"/>
          <w:u w:val="single" w:color="auto"/>
          <w:color w:val="0000EE"/>
        </w:rPr>
      </w:pPr>
    </w:p>
    <w:p>
      <w:pPr>
        <w:jc w:val="both"/>
        <w:ind w:left="880" w:hanging="717"/>
        <w:spacing w:after="0" w:line="250" w:lineRule="auto"/>
        <w:tabs>
          <w:tab w:leader="none" w:pos="8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w:t>
      </w:r>
      <w:r>
        <w:rPr>
          <w:sz w:val="20"/>
          <w:szCs w:val="20"/>
          <w:color w:val="auto"/>
        </w:rPr>
        <w:tab/>
      </w:r>
      <w:hyperlink r:id="rId40">
        <w:r>
          <w:rPr>
            <w:rFonts w:ascii="Times New Roman" w:cs="Times New Roman" w:eastAsia="Times New Roman" w:hAnsi="Times New Roman"/>
            <w:sz w:val="18"/>
            <w:szCs w:val="18"/>
            <w:u w:val="single" w:color="auto"/>
            <w:color w:val="0000EE"/>
          </w:rPr>
          <w:t>Credit Agreement dated July 2, 2025 by and among FTC Solar, Inc., the lenders party thereto and Acquiom Agency Services LLC, as</w:t>
        </w:r>
      </w:hyperlink>
      <w:r>
        <w:rPr>
          <w:rFonts w:ascii="Times New Roman" w:cs="Times New Roman" w:eastAsia="Times New Roman" w:hAnsi="Times New Roman"/>
          <w:sz w:val="18"/>
          <w:szCs w:val="18"/>
          <w:u w:val="single" w:color="auto"/>
          <w:color w:val="0000EE"/>
        </w:rPr>
        <w:t xml:space="preserve"> </w:t>
      </w:r>
      <w:hyperlink r:id="rId40">
        <w:r>
          <w:rPr>
            <w:rFonts w:ascii="Times New Roman" w:cs="Times New Roman" w:eastAsia="Times New Roman" w:hAnsi="Times New Roman"/>
            <w:sz w:val="18"/>
            <w:szCs w:val="18"/>
            <w:u w:val="single" w:color="auto"/>
            <w:color w:val="0000EE"/>
          </w:rPr>
          <w:t>administrative agent for the lenders+# (filed as Exhibit 10.1 to the Registrant’s Current Report on Form 8-K filed with the Securities and</w:t>
        </w:r>
      </w:hyperlink>
      <w:r>
        <w:rPr>
          <w:rFonts w:ascii="Times New Roman" w:cs="Times New Roman" w:eastAsia="Times New Roman" w:hAnsi="Times New Roman"/>
          <w:sz w:val="18"/>
          <w:szCs w:val="18"/>
          <w:u w:val="single" w:color="auto"/>
          <w:color w:val="0000EE"/>
        </w:rPr>
        <w:t xml:space="preserve"> </w:t>
      </w:r>
      <w:hyperlink r:id="rId40">
        <w:r>
          <w:rPr>
            <w:rFonts w:ascii="Times New Roman" w:cs="Times New Roman" w:eastAsia="Times New Roman" w:hAnsi="Times New Roman"/>
            <w:sz w:val="18"/>
            <w:szCs w:val="18"/>
            <w:u w:val="single" w:color="auto"/>
            <w:color w:val="0000EE"/>
          </w:rPr>
          <w:t>Exchange Commission on July 7, 2025 and incorporated herein by reference)</w:t>
        </w:r>
      </w:hyperlink>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-83185</wp:posOffset>
            </wp:positionH>
            <wp:positionV relativeFrom="paragraph">
              <wp:posOffset>635</wp:posOffset>
            </wp:positionV>
            <wp:extent cx="7132320" cy="4114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1">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jc w:val="both"/>
        <w:ind w:left="880" w:hanging="717"/>
        <w:spacing w:after="0" w:line="250" w:lineRule="auto"/>
        <w:tabs>
          <w:tab w:leader="none" w:pos="8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w:t>
      </w:r>
      <w:r>
        <w:rPr>
          <w:sz w:val="20"/>
          <w:szCs w:val="20"/>
          <w:color w:val="auto"/>
        </w:rPr>
        <w:tab/>
      </w:r>
      <w:hyperlink r:id="rId42">
        <w:r>
          <w:rPr>
            <w:rFonts w:ascii="Times New Roman" w:cs="Times New Roman" w:eastAsia="Times New Roman" w:hAnsi="Times New Roman"/>
            <w:sz w:val="18"/>
            <w:szCs w:val="18"/>
            <w:u w:val="single" w:color="auto"/>
            <w:color w:val="0000EE"/>
          </w:rPr>
          <w:t>First Amendment to Credit Agreement, dated November 11, 2025, by and among FTC Solar, Inc. and Acquiom Agency Services LLC, as</w:t>
        </w:r>
      </w:hyperlink>
      <w:r>
        <w:rPr>
          <w:rFonts w:ascii="Times New Roman" w:cs="Times New Roman" w:eastAsia="Times New Roman" w:hAnsi="Times New Roman"/>
          <w:sz w:val="18"/>
          <w:szCs w:val="18"/>
          <w:u w:val="single" w:color="auto"/>
          <w:color w:val="0000EE"/>
        </w:rPr>
        <w:t xml:space="preserve"> </w:t>
      </w:r>
      <w:hyperlink r:id="rId42">
        <w:r>
          <w:rPr>
            <w:rFonts w:ascii="Times New Roman" w:cs="Times New Roman" w:eastAsia="Times New Roman" w:hAnsi="Times New Roman"/>
            <w:sz w:val="18"/>
            <w:szCs w:val="18"/>
            <w:u w:val="single" w:color="auto"/>
            <w:color w:val="0000EE"/>
          </w:rPr>
          <w:t>administrative agent for the lenders+# (filed as Exhibit 10.2 to the Registrant’s Quarterly Report on Form 10-Q filed with the Securities and</w:t>
        </w:r>
      </w:hyperlink>
      <w:r>
        <w:rPr>
          <w:rFonts w:ascii="Times New Roman" w:cs="Times New Roman" w:eastAsia="Times New Roman" w:hAnsi="Times New Roman"/>
          <w:sz w:val="18"/>
          <w:szCs w:val="18"/>
          <w:u w:val="single" w:color="auto"/>
          <w:color w:val="0000EE"/>
        </w:rPr>
        <w:t xml:space="preserve"> </w:t>
      </w:r>
      <w:hyperlink r:id="rId42">
        <w:r>
          <w:rPr>
            <w:rFonts w:ascii="Times New Roman" w:cs="Times New Roman" w:eastAsia="Times New Roman" w:hAnsi="Times New Roman"/>
            <w:sz w:val="18"/>
            <w:szCs w:val="18"/>
            <w:u w:val="single" w:color="auto"/>
            <w:color w:val="0000EE"/>
          </w:rPr>
          <w:t>Exchange Commission on November 12, 2025 and incorporated herein by reference)</w:t>
        </w:r>
      </w:hyperlink>
    </w:p>
    <w:p>
      <w:pPr>
        <w:spacing w:after="0" w:line="1" w:lineRule="exact"/>
        <w:rPr>
          <w:rFonts w:ascii="Times New Roman" w:cs="Times New Roman" w:eastAsia="Times New Roman" w:hAnsi="Times New Roman"/>
          <w:sz w:val="18"/>
          <w:szCs w:val="18"/>
          <w:u w:val="single" w:color="auto"/>
          <w:color w:val="0000EE"/>
        </w:rPr>
      </w:pPr>
    </w:p>
    <w:p>
      <w:pPr>
        <w:jc w:val="both"/>
        <w:ind w:left="880" w:hanging="717"/>
        <w:spacing w:after="0" w:line="250" w:lineRule="auto"/>
        <w:tabs>
          <w:tab w:leader="none" w:pos="8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w:t>
      </w:r>
      <w:r>
        <w:rPr>
          <w:sz w:val="20"/>
          <w:szCs w:val="20"/>
          <w:color w:val="auto"/>
        </w:rPr>
        <w:tab/>
      </w:r>
      <w:hyperlink r:id="rId43">
        <w:r>
          <w:rPr>
            <w:rFonts w:ascii="Times New Roman" w:cs="Times New Roman" w:eastAsia="Times New Roman" w:hAnsi="Times New Roman"/>
            <w:sz w:val="18"/>
            <w:szCs w:val="18"/>
            <w:u w:val="single" w:color="auto"/>
            <w:color w:val="0000EE"/>
          </w:rPr>
          <w:t>Form of Governance Rights Side Letter (filed as Exhibit 10.2 to the Registrant’s Current Report on Form 8-K filed with the Securities and</w:t>
        </w:r>
      </w:hyperlink>
      <w:r>
        <w:rPr>
          <w:rFonts w:ascii="Times New Roman" w:cs="Times New Roman" w:eastAsia="Times New Roman" w:hAnsi="Times New Roman"/>
          <w:sz w:val="18"/>
          <w:szCs w:val="18"/>
          <w:u w:val="single" w:color="auto"/>
          <w:color w:val="0000EE"/>
        </w:rPr>
        <w:t xml:space="preserve"> </w:t>
      </w:r>
      <w:hyperlink r:id="rId43">
        <w:r>
          <w:rPr>
            <w:rFonts w:ascii="Times New Roman" w:cs="Times New Roman" w:eastAsia="Times New Roman" w:hAnsi="Times New Roman"/>
            <w:sz w:val="18"/>
            <w:szCs w:val="18"/>
            <w:u w:val="single" w:color="auto"/>
            <w:color w:val="0000EE"/>
          </w:rPr>
          <w:t>Exchange Commission on July 7, 2025 and incorporated herein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635</wp:posOffset>
            </wp:positionV>
            <wp:extent cx="7132320" cy="4114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4">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jc w:val="both"/>
        <w:ind w:left="880" w:hanging="723"/>
        <w:spacing w:after="0" w:line="250" w:lineRule="auto"/>
        <w:tabs>
          <w:tab w:leader="none" w:pos="8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10.4</w:t>
      </w:r>
      <w:r>
        <w:rPr>
          <w:sz w:val="20"/>
          <w:szCs w:val="20"/>
          <w:color w:val="auto"/>
        </w:rPr>
        <w:tab/>
      </w:r>
      <w:hyperlink r:id="rId45">
        <w:r>
          <w:rPr>
            <w:rFonts w:ascii="Times New Roman" w:cs="Times New Roman" w:eastAsia="Times New Roman" w:hAnsi="Times New Roman"/>
            <w:sz w:val="18"/>
            <w:szCs w:val="18"/>
            <w:u w:val="single" w:color="auto"/>
            <w:color w:val="0000EE"/>
          </w:rPr>
          <w:t>Guarantee and Collateral Agreement dated July 2, 2025 by and among FTC Solar, Inc. and Acquiom Agency Services LLC, as administrative</w:t>
        </w:r>
      </w:hyperlink>
      <w:r>
        <w:rPr>
          <w:rFonts w:ascii="Times New Roman" w:cs="Times New Roman" w:eastAsia="Times New Roman" w:hAnsi="Times New Roman"/>
          <w:sz w:val="18"/>
          <w:szCs w:val="18"/>
          <w:u w:val="single" w:color="auto"/>
          <w:color w:val="0000EE"/>
        </w:rPr>
        <w:t xml:space="preserve"> </w:t>
      </w:r>
      <w:hyperlink r:id="rId45">
        <w:r>
          <w:rPr>
            <w:rFonts w:ascii="Times New Roman" w:cs="Times New Roman" w:eastAsia="Times New Roman" w:hAnsi="Times New Roman"/>
            <w:sz w:val="18"/>
            <w:szCs w:val="18"/>
            <w:u w:val="single" w:color="auto"/>
            <w:color w:val="0000EE"/>
          </w:rPr>
          <w:t>agent for the lender (filed as Exhibit 10.3 to the Registrant’s Current Report on Form 8-K filed with the Securities and Exchange Commission</w:t>
        </w:r>
      </w:hyperlink>
      <w:r>
        <w:rPr>
          <w:rFonts w:ascii="Times New Roman" w:cs="Times New Roman" w:eastAsia="Times New Roman" w:hAnsi="Times New Roman"/>
          <w:sz w:val="18"/>
          <w:szCs w:val="18"/>
          <w:u w:val="single" w:color="auto"/>
          <w:color w:val="0000EE"/>
        </w:rPr>
        <w:t xml:space="preserve"> </w:t>
      </w:r>
      <w:hyperlink r:id="rId45">
        <w:r>
          <w:rPr>
            <w:rFonts w:ascii="Times New Roman" w:cs="Times New Roman" w:eastAsia="Times New Roman" w:hAnsi="Times New Roman"/>
            <w:sz w:val="18"/>
            <w:szCs w:val="18"/>
            <w:u w:val="single" w:color="auto"/>
            <w:color w:val="0000EE"/>
          </w:rPr>
          <w:t>on July 7, 2025 and incorporated herein by reference)</w:t>
        </w:r>
      </w:hyperlink>
    </w:p>
    <w:p>
      <w:pPr>
        <w:spacing w:after="0" w:line="1" w:lineRule="exact"/>
        <w:rPr>
          <w:rFonts w:ascii="Times New Roman" w:cs="Times New Roman" w:eastAsia="Times New Roman" w:hAnsi="Times New Roman"/>
          <w:sz w:val="18"/>
          <w:szCs w:val="18"/>
          <w:u w:val="single" w:color="auto"/>
          <w:color w:val="0000EE"/>
        </w:rPr>
      </w:pPr>
    </w:p>
    <w:p>
      <w:pPr>
        <w:jc w:val="both"/>
        <w:ind w:left="880" w:hanging="717"/>
        <w:spacing w:after="0" w:line="250" w:lineRule="auto"/>
        <w:tabs>
          <w:tab w:leader="none" w:pos="8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10.5</w:t>
      </w:r>
      <w:r>
        <w:rPr>
          <w:sz w:val="20"/>
          <w:szCs w:val="20"/>
          <w:color w:val="auto"/>
        </w:rPr>
        <w:tab/>
      </w:r>
      <w:hyperlink r:id="rId46">
        <w:r>
          <w:rPr>
            <w:rFonts w:ascii="Times New Roman" w:cs="Times New Roman" w:eastAsia="Times New Roman" w:hAnsi="Times New Roman"/>
            <w:sz w:val="18"/>
            <w:szCs w:val="18"/>
            <w:u w:val="single" w:color="auto"/>
            <w:color w:val="0000EE"/>
          </w:rPr>
          <w:t>Patent Security Agreement dated July 2, 2025 by and among FTC Solar, Inc. and Acquiom Agency Services LLC, as administrative agent for</w:t>
        </w:r>
      </w:hyperlink>
      <w:r>
        <w:rPr>
          <w:rFonts w:ascii="Times New Roman" w:cs="Times New Roman" w:eastAsia="Times New Roman" w:hAnsi="Times New Roman"/>
          <w:sz w:val="18"/>
          <w:szCs w:val="18"/>
          <w:u w:val="single" w:color="auto"/>
          <w:color w:val="0000EE"/>
        </w:rPr>
        <w:t xml:space="preserve"> </w:t>
      </w:r>
      <w:hyperlink r:id="rId46">
        <w:r>
          <w:rPr>
            <w:rFonts w:ascii="Times New Roman" w:cs="Times New Roman" w:eastAsia="Times New Roman" w:hAnsi="Times New Roman"/>
            <w:sz w:val="18"/>
            <w:szCs w:val="18"/>
            <w:u w:val="single" w:color="auto"/>
            <w:color w:val="0000EE"/>
          </w:rPr>
          <w:t>the lenders+ (filed as Exhibit 10.4 to the Registrant’s Current Report on Form 8-K filed with the Securities and Exchange Commission on</w:t>
        </w:r>
      </w:hyperlink>
      <w:r>
        <w:rPr>
          <w:rFonts w:ascii="Times New Roman" w:cs="Times New Roman" w:eastAsia="Times New Roman" w:hAnsi="Times New Roman"/>
          <w:sz w:val="18"/>
          <w:szCs w:val="18"/>
          <w:u w:val="single" w:color="auto"/>
          <w:color w:val="0000EE"/>
        </w:rPr>
        <w:t xml:space="preserve"> </w:t>
      </w:r>
      <w:hyperlink r:id="rId46">
        <w:r>
          <w:rPr>
            <w:rFonts w:ascii="Times New Roman" w:cs="Times New Roman" w:eastAsia="Times New Roman" w:hAnsi="Times New Roman"/>
            <w:sz w:val="18"/>
            <w:szCs w:val="18"/>
            <w:u w:val="single" w:color="auto"/>
            <w:color w:val="0000EE"/>
          </w:rPr>
          <w:t>July 7, 2025 and incorporated herein by reference)</w:t>
        </w:r>
      </w:hyperlink>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-83185</wp:posOffset>
            </wp:positionH>
            <wp:positionV relativeFrom="paragraph">
              <wp:posOffset>635</wp:posOffset>
            </wp:positionV>
            <wp:extent cx="7132320" cy="4114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7">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jc w:val="both"/>
        <w:ind w:left="880" w:hanging="717"/>
        <w:spacing w:after="0" w:line="250" w:lineRule="auto"/>
        <w:tabs>
          <w:tab w:leader="none" w:pos="8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10.6</w:t>
      </w:r>
      <w:r>
        <w:rPr>
          <w:sz w:val="20"/>
          <w:szCs w:val="20"/>
          <w:color w:val="auto"/>
        </w:rPr>
        <w:tab/>
      </w:r>
      <w:hyperlink r:id="rId48">
        <w:r>
          <w:rPr>
            <w:rFonts w:ascii="Times New Roman" w:cs="Times New Roman" w:eastAsia="Times New Roman" w:hAnsi="Times New Roman"/>
            <w:sz w:val="18"/>
            <w:szCs w:val="18"/>
            <w:u w:val="single" w:color="auto"/>
            <w:color w:val="0000EE"/>
          </w:rPr>
          <w:t>Trademark Security Agreement dated July 2, 2025 by and among FTC Solar, Inc. and Acquiom Agency Services LLC, as administrative</w:t>
        </w:r>
      </w:hyperlink>
      <w:r>
        <w:rPr>
          <w:rFonts w:ascii="Times New Roman" w:cs="Times New Roman" w:eastAsia="Times New Roman" w:hAnsi="Times New Roman"/>
          <w:sz w:val="18"/>
          <w:szCs w:val="18"/>
          <w:u w:val="single" w:color="auto"/>
          <w:color w:val="0000EE"/>
        </w:rPr>
        <w:t xml:space="preserve"> </w:t>
      </w:r>
      <w:hyperlink r:id="rId48">
        <w:r>
          <w:rPr>
            <w:rFonts w:ascii="Times New Roman" w:cs="Times New Roman" w:eastAsia="Times New Roman" w:hAnsi="Times New Roman"/>
            <w:sz w:val="18"/>
            <w:szCs w:val="18"/>
            <w:u w:val="single" w:color="auto"/>
            <w:color w:val="0000EE"/>
          </w:rPr>
          <w:t>agent for the lenders+ (filed as Exhibit 10.5 to the Registrant’s Current Report on Form 8-K filed with the Securities and Exchange</w:t>
        </w:r>
      </w:hyperlink>
      <w:r>
        <w:rPr>
          <w:rFonts w:ascii="Times New Roman" w:cs="Times New Roman" w:eastAsia="Times New Roman" w:hAnsi="Times New Roman"/>
          <w:sz w:val="18"/>
          <w:szCs w:val="18"/>
          <w:u w:val="single" w:color="auto"/>
          <w:color w:val="0000EE"/>
        </w:rPr>
        <w:t xml:space="preserve"> </w:t>
      </w:r>
      <w:hyperlink r:id="rId48">
        <w:r>
          <w:rPr>
            <w:rFonts w:ascii="Times New Roman" w:cs="Times New Roman" w:eastAsia="Times New Roman" w:hAnsi="Times New Roman"/>
            <w:sz w:val="18"/>
            <w:szCs w:val="18"/>
            <w:u w:val="single" w:color="auto"/>
            <w:color w:val="0000EE"/>
          </w:rPr>
          <w:t>Commission on July 7, 2025 and incorporated herein by reference)</w:t>
        </w:r>
      </w:hyperlink>
    </w:p>
    <w:p>
      <w:pPr>
        <w:spacing w:after="0" w:line="1" w:lineRule="exact"/>
        <w:rPr>
          <w:rFonts w:ascii="Times New Roman" w:cs="Times New Roman" w:eastAsia="Times New Roman" w:hAnsi="Times New Roman"/>
          <w:sz w:val="18"/>
          <w:szCs w:val="18"/>
          <w:u w:val="single" w:color="auto"/>
          <w:color w:val="0000EE"/>
        </w:rPr>
      </w:pPr>
    </w:p>
    <w:p>
      <w:pPr>
        <w:jc w:val="both"/>
        <w:ind w:left="880" w:hanging="717"/>
        <w:spacing w:after="0" w:line="250" w:lineRule="auto"/>
        <w:tabs>
          <w:tab w:leader="none" w:pos="8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10.7</w:t>
      </w:r>
      <w:r>
        <w:rPr>
          <w:sz w:val="20"/>
          <w:szCs w:val="20"/>
          <w:color w:val="auto"/>
        </w:rPr>
        <w:tab/>
      </w:r>
      <w:hyperlink r:id="rId49">
        <w:r>
          <w:rPr>
            <w:rFonts w:ascii="Times New Roman" w:cs="Times New Roman" w:eastAsia="Times New Roman" w:hAnsi="Times New Roman"/>
            <w:sz w:val="18"/>
            <w:szCs w:val="18"/>
            <w:u w:val="single" w:color="auto"/>
            <w:color w:val="0000EE"/>
          </w:rPr>
          <w:t>Subordination Agreement dated July 2, 2025 by and among FTC Solar, Inc. and Acquiom Agency Services LLC, as administrative agent for</w:t>
        </w:r>
      </w:hyperlink>
      <w:r>
        <w:rPr>
          <w:rFonts w:ascii="Times New Roman" w:cs="Times New Roman" w:eastAsia="Times New Roman" w:hAnsi="Times New Roman"/>
          <w:sz w:val="18"/>
          <w:szCs w:val="18"/>
          <w:u w:val="single" w:color="auto"/>
          <w:color w:val="0000EE"/>
        </w:rPr>
        <w:t xml:space="preserve"> </w:t>
      </w:r>
      <w:hyperlink r:id="rId49">
        <w:r>
          <w:rPr>
            <w:rFonts w:ascii="Times New Roman" w:cs="Times New Roman" w:eastAsia="Times New Roman" w:hAnsi="Times New Roman"/>
            <w:sz w:val="18"/>
            <w:szCs w:val="18"/>
            <w:u w:val="single" w:color="auto"/>
            <w:color w:val="0000EE"/>
          </w:rPr>
          <w:t>the lenders (filed as Exhibit 10.6 to the Registrant’s Current Report on Form 8-K filed with the Securities and Exchange Commission on July</w:t>
        </w:r>
      </w:hyperlink>
      <w:r>
        <w:rPr>
          <w:rFonts w:ascii="Times New Roman" w:cs="Times New Roman" w:eastAsia="Times New Roman" w:hAnsi="Times New Roman"/>
          <w:sz w:val="18"/>
          <w:szCs w:val="18"/>
          <w:u w:val="single" w:color="auto"/>
          <w:color w:val="0000EE"/>
        </w:rPr>
        <w:t xml:space="preserve"> </w:t>
      </w:r>
      <w:hyperlink r:id="rId49">
        <w:r>
          <w:rPr>
            <w:rFonts w:ascii="Times New Roman" w:cs="Times New Roman" w:eastAsia="Times New Roman" w:hAnsi="Times New Roman"/>
            <w:sz w:val="18"/>
            <w:szCs w:val="18"/>
            <w:u w:val="single" w:color="auto"/>
            <w:color w:val="0000EE"/>
          </w:rPr>
          <w:t>7, 2025 and incorporated herein by reference)</w:t>
        </w:r>
      </w:hyperlink>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-83185</wp:posOffset>
            </wp:positionH>
            <wp:positionV relativeFrom="paragraph">
              <wp:posOffset>635</wp:posOffset>
            </wp:positionV>
            <wp:extent cx="7132320" cy="4114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0">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jc w:val="both"/>
        <w:ind w:left="880" w:hanging="717"/>
        <w:spacing w:after="0" w:line="250" w:lineRule="auto"/>
        <w:tabs>
          <w:tab w:leader="none" w:pos="8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10.8</w:t>
      </w:r>
      <w:r>
        <w:rPr>
          <w:sz w:val="20"/>
          <w:szCs w:val="20"/>
          <w:color w:val="auto"/>
        </w:rPr>
        <w:tab/>
      </w:r>
      <w:hyperlink r:id="rId51">
        <w:r>
          <w:rPr>
            <w:rFonts w:ascii="Times New Roman" w:cs="Times New Roman" w:eastAsia="Times New Roman" w:hAnsi="Times New Roman"/>
            <w:sz w:val="18"/>
            <w:szCs w:val="18"/>
            <w:u w:val="single" w:color="auto"/>
            <w:color w:val="0000EE"/>
          </w:rPr>
          <w:t>Amendment No. 1 to Securities Purchase Agreement and Security Release dated July 2, 2025 between FTC Solar, Inc. and AV Securities,</w:t>
        </w:r>
      </w:hyperlink>
      <w:r>
        <w:rPr>
          <w:rFonts w:ascii="Times New Roman" w:cs="Times New Roman" w:eastAsia="Times New Roman" w:hAnsi="Times New Roman"/>
          <w:sz w:val="18"/>
          <w:szCs w:val="18"/>
          <w:u w:val="single" w:color="auto"/>
          <w:color w:val="0000EE"/>
        </w:rPr>
        <w:t xml:space="preserve"> </w:t>
      </w:r>
      <w:hyperlink r:id="rId51">
        <w:r>
          <w:rPr>
            <w:rFonts w:ascii="Times New Roman" w:cs="Times New Roman" w:eastAsia="Times New Roman" w:hAnsi="Times New Roman"/>
            <w:sz w:val="18"/>
            <w:szCs w:val="18"/>
            <w:u w:val="single" w:color="auto"/>
            <w:color w:val="0000EE"/>
          </w:rPr>
          <w:t>Inc. (filed as Exhibit 10.7 to the Registrant’s Current Report on Form 8-K filed with the Securities and Exchange Commission on July 7,</w:t>
        </w:r>
      </w:hyperlink>
      <w:r>
        <w:rPr>
          <w:rFonts w:ascii="Times New Roman" w:cs="Times New Roman" w:eastAsia="Times New Roman" w:hAnsi="Times New Roman"/>
          <w:sz w:val="18"/>
          <w:szCs w:val="18"/>
          <w:u w:val="single" w:color="auto"/>
          <w:color w:val="0000EE"/>
        </w:rPr>
        <w:t xml:space="preserve"> </w:t>
      </w:r>
      <w:hyperlink r:id="rId51">
        <w:r>
          <w:rPr>
            <w:rFonts w:ascii="Times New Roman" w:cs="Times New Roman" w:eastAsia="Times New Roman" w:hAnsi="Times New Roman"/>
            <w:sz w:val="18"/>
            <w:szCs w:val="18"/>
            <w:u w:val="single" w:color="auto"/>
            <w:color w:val="0000EE"/>
          </w:rPr>
          <w:t>2025 and incorporated herein by reference)</w:t>
        </w:r>
      </w:hyperlink>
    </w:p>
    <w:p>
      <w:pPr>
        <w:spacing w:after="0" w:line="1" w:lineRule="exact"/>
        <w:rPr>
          <w:rFonts w:ascii="Times New Roman" w:cs="Times New Roman" w:eastAsia="Times New Roman" w:hAnsi="Times New Roman"/>
          <w:sz w:val="18"/>
          <w:szCs w:val="18"/>
          <w:u w:val="single" w:color="auto"/>
          <w:color w:val="0000EE"/>
        </w:rPr>
      </w:pPr>
    </w:p>
    <w:p>
      <w:pPr>
        <w:jc w:val="both"/>
        <w:ind w:left="880" w:hanging="717"/>
        <w:spacing w:after="0" w:line="250" w:lineRule="auto"/>
        <w:tabs>
          <w:tab w:leader="none" w:pos="8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10.9</w:t>
      </w:r>
      <w:r>
        <w:rPr>
          <w:sz w:val="20"/>
          <w:szCs w:val="20"/>
          <w:color w:val="auto"/>
        </w:rPr>
        <w:tab/>
      </w:r>
      <w:hyperlink r:id="rId52">
        <w:r>
          <w:rPr>
            <w:rFonts w:ascii="Times New Roman" w:cs="Times New Roman" w:eastAsia="Times New Roman" w:hAnsi="Times New Roman"/>
            <w:sz w:val="18"/>
            <w:szCs w:val="18"/>
            <w:u w:val="single" w:color="auto"/>
            <w:color w:val="0000EE"/>
          </w:rPr>
          <w:t>Form of Registration Rights Agreement among FTC Solar, Inc. and the holders party thereto (filed as Exhibit 10.8 to the Registrant’s Current</w:t>
        </w:r>
      </w:hyperlink>
      <w:r>
        <w:rPr>
          <w:rFonts w:ascii="Times New Roman" w:cs="Times New Roman" w:eastAsia="Times New Roman" w:hAnsi="Times New Roman"/>
          <w:sz w:val="18"/>
          <w:szCs w:val="18"/>
          <w:u w:val="single" w:color="auto"/>
          <w:color w:val="0000EE"/>
        </w:rPr>
        <w:t xml:space="preserve"> </w:t>
      </w:r>
      <w:hyperlink r:id="rId52">
        <w:r>
          <w:rPr>
            <w:rFonts w:ascii="Times New Roman" w:cs="Times New Roman" w:eastAsia="Times New Roman" w:hAnsi="Times New Roman"/>
            <w:sz w:val="18"/>
            <w:szCs w:val="18"/>
            <w:u w:val="single" w:color="auto"/>
            <w:color w:val="0000EE"/>
          </w:rPr>
          <w:t>Report on Form 8-K filed with the Securities and Exchange Commission on July 7, 2025 and incorporated herein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635</wp:posOffset>
            </wp:positionV>
            <wp:extent cx="7132320" cy="4114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3">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jc w:val="both"/>
        <w:ind w:left="880" w:hanging="762"/>
        <w:spacing w:after="0" w:line="250" w:lineRule="auto"/>
        <w:tabs>
          <w:tab w:leader="none" w:pos="8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10.10</w:t>
      </w:r>
      <w:r>
        <w:rPr>
          <w:sz w:val="20"/>
          <w:szCs w:val="20"/>
          <w:color w:val="auto"/>
        </w:rPr>
        <w:tab/>
      </w:r>
      <w:hyperlink r:id="rId54">
        <w:r>
          <w:rPr>
            <w:rFonts w:ascii="Times New Roman" w:cs="Times New Roman" w:eastAsia="Times New Roman" w:hAnsi="Times New Roman"/>
            <w:sz w:val="18"/>
            <w:szCs w:val="18"/>
            <w:u w:val="single" w:color="auto"/>
            <w:color w:val="0000EE"/>
          </w:rPr>
          <w:t>Amended and Restated Registration Rights Agreement dated July 2, 2025 between FTC Solar, Inc. and AV Securities, Inc. (filed as Exhibit</w:t>
        </w:r>
      </w:hyperlink>
      <w:r>
        <w:rPr>
          <w:rFonts w:ascii="Times New Roman" w:cs="Times New Roman" w:eastAsia="Times New Roman" w:hAnsi="Times New Roman"/>
          <w:sz w:val="18"/>
          <w:szCs w:val="18"/>
          <w:u w:val="single" w:color="auto"/>
          <w:color w:val="0000EE"/>
        </w:rPr>
        <w:t xml:space="preserve"> </w:t>
      </w:r>
      <w:hyperlink r:id="rId54">
        <w:r>
          <w:rPr>
            <w:rFonts w:ascii="Times New Roman" w:cs="Times New Roman" w:eastAsia="Times New Roman" w:hAnsi="Times New Roman"/>
            <w:sz w:val="18"/>
            <w:szCs w:val="18"/>
            <w:u w:val="single" w:color="auto"/>
            <w:color w:val="0000EE"/>
          </w:rPr>
          <w:t>10.9 to the Registrant’s Current Report on Form 8-K filed with the Securities and Exchange Commission on July 7, 2025 and incorporated</w:t>
        </w:r>
      </w:hyperlink>
      <w:r>
        <w:rPr>
          <w:rFonts w:ascii="Times New Roman" w:cs="Times New Roman" w:eastAsia="Times New Roman" w:hAnsi="Times New Roman"/>
          <w:sz w:val="18"/>
          <w:szCs w:val="18"/>
          <w:u w:val="single" w:color="auto"/>
          <w:color w:val="0000EE"/>
        </w:rPr>
        <w:t xml:space="preserve"> </w:t>
      </w:r>
      <w:hyperlink r:id="rId54">
        <w:r>
          <w:rPr>
            <w:rFonts w:ascii="Times New Roman" w:cs="Times New Roman" w:eastAsia="Times New Roman" w:hAnsi="Times New Roman"/>
            <w:sz w:val="18"/>
            <w:szCs w:val="18"/>
            <w:u w:val="single" w:color="auto"/>
            <w:color w:val="0000EE"/>
          </w:rPr>
          <w:t>herein by reference)</w:t>
        </w:r>
      </w:hyperlink>
    </w:p>
    <w:p>
      <w:pPr>
        <w:spacing w:after="0" w:line="1" w:lineRule="exact"/>
        <w:rPr>
          <w:rFonts w:ascii="Times New Roman" w:cs="Times New Roman" w:eastAsia="Times New Roman" w:hAnsi="Times New Roman"/>
          <w:sz w:val="18"/>
          <w:szCs w:val="18"/>
          <w:u w:val="single" w:color="auto"/>
          <w:color w:val="0000EE"/>
        </w:rPr>
      </w:pPr>
    </w:p>
    <w:p>
      <w:pPr>
        <w:jc w:val="both"/>
        <w:ind w:left="880" w:hanging="758"/>
        <w:spacing w:after="0" w:line="250" w:lineRule="auto"/>
        <w:tabs>
          <w:tab w:leader="none" w:pos="8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10.11</w:t>
      </w:r>
      <w:r>
        <w:rPr>
          <w:sz w:val="20"/>
          <w:szCs w:val="20"/>
          <w:color w:val="auto"/>
        </w:rPr>
        <w:tab/>
      </w:r>
      <w:hyperlink r:id="rId55">
        <w:r>
          <w:rPr>
            <w:rFonts w:ascii="Times New Roman" w:cs="Times New Roman" w:eastAsia="Times New Roman" w:hAnsi="Times New Roman"/>
            <w:sz w:val="18"/>
            <w:szCs w:val="18"/>
            <w:u w:val="single" w:color="auto"/>
            <w:color w:val="0000EE"/>
          </w:rPr>
          <w:t>Membership Interest Purchase Agreement, dated November 11, 2025, between FTC Solar, Inc., and the other parties thereto+ (filed as</w:t>
        </w:r>
      </w:hyperlink>
      <w:r>
        <w:rPr>
          <w:rFonts w:ascii="Times New Roman" w:cs="Times New Roman" w:eastAsia="Times New Roman" w:hAnsi="Times New Roman"/>
          <w:sz w:val="18"/>
          <w:szCs w:val="18"/>
          <w:u w:val="single" w:color="auto"/>
          <w:color w:val="0000EE"/>
        </w:rPr>
        <w:t xml:space="preserve"> </w:t>
      </w:r>
      <w:hyperlink r:id="rId55">
        <w:r>
          <w:rPr>
            <w:rFonts w:ascii="Times New Roman" w:cs="Times New Roman" w:eastAsia="Times New Roman" w:hAnsi="Times New Roman"/>
            <w:sz w:val="18"/>
            <w:szCs w:val="18"/>
            <w:u w:val="single" w:color="auto"/>
            <w:color w:val="0000EE"/>
          </w:rPr>
          <w:t>Exhibit 10.12 to the Registrant’s Quarterly Report on Form 10-Q filed with the Securities and Exchange Commission on November 12, 2025</w:t>
        </w:r>
      </w:hyperlink>
      <w:r>
        <w:rPr>
          <w:rFonts w:ascii="Times New Roman" w:cs="Times New Roman" w:eastAsia="Times New Roman" w:hAnsi="Times New Roman"/>
          <w:sz w:val="18"/>
          <w:szCs w:val="18"/>
          <w:u w:val="single" w:color="auto"/>
          <w:color w:val="0000EE"/>
        </w:rPr>
        <w:t xml:space="preserve"> </w:t>
      </w:r>
      <w:hyperlink r:id="rId55">
        <w:r>
          <w:rPr>
            <w:rFonts w:ascii="Times New Roman" w:cs="Times New Roman" w:eastAsia="Times New Roman" w:hAnsi="Times New Roman"/>
            <w:sz w:val="18"/>
            <w:szCs w:val="18"/>
            <w:u w:val="single" w:color="auto"/>
            <w:color w:val="0000EE"/>
          </w:rPr>
          <w:t>and incorporated herein by reference)</w:t>
        </w:r>
      </w:hyperlink>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-83185</wp:posOffset>
            </wp:positionH>
            <wp:positionV relativeFrom="paragraph">
              <wp:posOffset>635</wp:posOffset>
            </wp:positionV>
            <wp:extent cx="7132320" cy="4114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6">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jc w:val="both"/>
        <w:ind w:left="880" w:hanging="762"/>
        <w:spacing w:after="0" w:line="250" w:lineRule="auto"/>
        <w:tabs>
          <w:tab w:leader="none" w:pos="8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10.12</w:t>
      </w:r>
      <w:r>
        <w:rPr>
          <w:sz w:val="20"/>
          <w:szCs w:val="20"/>
          <w:color w:val="auto"/>
        </w:rPr>
        <w:tab/>
      </w:r>
      <w:hyperlink r:id="rId57">
        <w:r>
          <w:rPr>
            <w:rFonts w:ascii="Times New Roman" w:cs="Times New Roman" w:eastAsia="Times New Roman" w:hAnsi="Times New Roman"/>
            <w:sz w:val="18"/>
            <w:szCs w:val="18"/>
            <w:u w:val="single" w:color="auto"/>
            <w:color w:val="0000EE"/>
          </w:rPr>
          <w:t>Registration Rights Agreement, dated April 29, 2021, by and among FTC Solar, Inc. and certain holders of its capital stock (filed as Exhibit</w:t>
        </w:r>
      </w:hyperlink>
      <w:r>
        <w:rPr>
          <w:rFonts w:ascii="Times New Roman" w:cs="Times New Roman" w:eastAsia="Times New Roman" w:hAnsi="Times New Roman"/>
          <w:sz w:val="18"/>
          <w:szCs w:val="18"/>
          <w:u w:val="single" w:color="auto"/>
          <w:color w:val="0000EE"/>
        </w:rPr>
        <w:t xml:space="preserve"> </w:t>
      </w:r>
      <w:hyperlink r:id="rId57">
        <w:r>
          <w:rPr>
            <w:rFonts w:ascii="Times New Roman" w:cs="Times New Roman" w:eastAsia="Times New Roman" w:hAnsi="Times New Roman"/>
            <w:sz w:val="18"/>
            <w:szCs w:val="18"/>
            <w:u w:val="single" w:color="auto"/>
            <w:color w:val="0000EE"/>
          </w:rPr>
          <w:t>10.1 to the Registrant’s Current Report on Form 8-K filed with the Securities and Exchange Commission on May 3, 2021 and incorporated</w:t>
        </w:r>
      </w:hyperlink>
      <w:r>
        <w:rPr>
          <w:rFonts w:ascii="Times New Roman" w:cs="Times New Roman" w:eastAsia="Times New Roman" w:hAnsi="Times New Roman"/>
          <w:sz w:val="18"/>
          <w:szCs w:val="18"/>
          <w:u w:val="single" w:color="auto"/>
          <w:color w:val="0000EE"/>
        </w:rPr>
        <w:t xml:space="preserve"> </w:t>
      </w:r>
      <w:hyperlink r:id="rId57">
        <w:r>
          <w:rPr>
            <w:rFonts w:ascii="Times New Roman" w:cs="Times New Roman" w:eastAsia="Times New Roman" w:hAnsi="Times New Roman"/>
            <w:sz w:val="18"/>
            <w:szCs w:val="18"/>
            <w:u w:val="single" w:color="auto"/>
            <w:color w:val="0000EE"/>
          </w:rPr>
          <w:t>herein by reference)</w:t>
        </w:r>
      </w:hyperlink>
    </w:p>
    <w:p>
      <w:pPr>
        <w:spacing w:after="0" w:line="1" w:lineRule="exact"/>
        <w:rPr>
          <w:rFonts w:ascii="Times New Roman" w:cs="Times New Roman" w:eastAsia="Times New Roman" w:hAnsi="Times New Roman"/>
          <w:sz w:val="18"/>
          <w:szCs w:val="18"/>
          <w:u w:val="single" w:color="auto"/>
          <w:color w:val="0000EE"/>
        </w:rPr>
      </w:pPr>
    </w:p>
    <w:p>
      <w:pPr>
        <w:jc w:val="both"/>
        <w:ind w:left="880" w:hanging="762"/>
        <w:spacing w:after="0" w:line="250" w:lineRule="auto"/>
        <w:tabs>
          <w:tab w:leader="none" w:pos="8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10.13</w:t>
      </w:r>
      <w:r>
        <w:rPr>
          <w:sz w:val="20"/>
          <w:szCs w:val="20"/>
          <w:color w:val="auto"/>
        </w:rPr>
        <w:tab/>
      </w:r>
      <w:hyperlink r:id="rId58">
        <w:r>
          <w:rPr>
            <w:rFonts w:ascii="Times New Roman" w:cs="Times New Roman" w:eastAsia="Times New Roman" w:hAnsi="Times New Roman"/>
            <w:sz w:val="18"/>
            <w:szCs w:val="18"/>
            <w:u w:val="single" w:color="auto"/>
            <w:color w:val="0000EE"/>
          </w:rPr>
          <w:t>Amendment No. 1 to Registration Rights Agreement, dated February 17, 2022, by and among FTC Solar, Inc. and certain holders of its</w:t>
        </w:r>
      </w:hyperlink>
      <w:r>
        <w:rPr>
          <w:rFonts w:ascii="Times New Roman" w:cs="Times New Roman" w:eastAsia="Times New Roman" w:hAnsi="Times New Roman"/>
          <w:sz w:val="18"/>
          <w:szCs w:val="18"/>
          <w:u w:val="single" w:color="auto"/>
          <w:color w:val="0000EE"/>
        </w:rPr>
        <w:t xml:space="preserve"> </w:t>
      </w:r>
      <w:hyperlink r:id="rId58">
        <w:r>
          <w:rPr>
            <w:rFonts w:ascii="Times New Roman" w:cs="Times New Roman" w:eastAsia="Times New Roman" w:hAnsi="Times New Roman"/>
            <w:sz w:val="18"/>
            <w:szCs w:val="18"/>
            <w:u w:val="single" w:color="auto"/>
            <w:color w:val="0000EE"/>
          </w:rPr>
          <w:t>capital stock (filed as Exhibit 10.2 to the Registrant’s Annual Report on Form 10-K filed with the Securities and Exchange Commission on</w:t>
        </w:r>
      </w:hyperlink>
      <w:r>
        <w:rPr>
          <w:rFonts w:ascii="Times New Roman" w:cs="Times New Roman" w:eastAsia="Times New Roman" w:hAnsi="Times New Roman"/>
          <w:sz w:val="18"/>
          <w:szCs w:val="18"/>
          <w:u w:val="single" w:color="auto"/>
          <w:color w:val="0000EE"/>
        </w:rPr>
        <w:t xml:space="preserve"> </w:t>
      </w:r>
      <w:hyperlink r:id="rId58">
        <w:r>
          <w:rPr>
            <w:rFonts w:ascii="Times New Roman" w:cs="Times New Roman" w:eastAsia="Times New Roman" w:hAnsi="Times New Roman"/>
            <w:sz w:val="18"/>
            <w:szCs w:val="18"/>
            <w:u w:val="single" w:color="auto"/>
            <w:color w:val="0000EE"/>
          </w:rPr>
          <w:t>March 21, 2022 and incorporated herein by reference)</w:t>
        </w:r>
      </w:hyperlink>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-83185</wp:posOffset>
            </wp:positionH>
            <wp:positionV relativeFrom="paragraph">
              <wp:posOffset>635</wp:posOffset>
            </wp:positionV>
            <wp:extent cx="7132320" cy="2743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9">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880" w:hanging="852"/>
        <w:spacing w:after="0" w:line="250" w:lineRule="auto"/>
        <w:tabs>
          <w:tab w:leader="none" w:pos="8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10.14**</w:t>
      </w:r>
      <w:r>
        <w:rPr>
          <w:sz w:val="20"/>
          <w:szCs w:val="20"/>
          <w:color w:val="auto"/>
        </w:rPr>
        <w:tab/>
      </w:r>
      <w:hyperlink r:id="rId60">
        <w:r>
          <w:rPr>
            <w:rFonts w:ascii="Times New Roman" w:cs="Times New Roman" w:eastAsia="Times New Roman" w:hAnsi="Times New Roman"/>
            <w:sz w:val="18"/>
            <w:szCs w:val="18"/>
            <w:u w:val="single" w:color="auto"/>
            <w:color w:val="0000EE"/>
          </w:rPr>
          <w:t>FTC Solar, Inc. 2021 Stock Incentive Plan and form of agreement (filed as Exhibit 10.6 to the Registrant’s Quarterly Report on Form 10-Q</w:t>
        </w:r>
      </w:hyperlink>
      <w:r>
        <w:rPr>
          <w:rFonts w:ascii="Times New Roman" w:cs="Times New Roman" w:eastAsia="Times New Roman" w:hAnsi="Times New Roman"/>
          <w:sz w:val="18"/>
          <w:szCs w:val="18"/>
          <w:u w:val="single" w:color="auto"/>
          <w:color w:val="0000EE"/>
        </w:rPr>
        <w:t xml:space="preserve"> </w:t>
      </w:r>
      <w:hyperlink r:id="rId60">
        <w:r>
          <w:rPr>
            <w:rFonts w:ascii="Times New Roman" w:cs="Times New Roman" w:eastAsia="Times New Roman" w:hAnsi="Times New Roman"/>
            <w:sz w:val="18"/>
            <w:szCs w:val="18"/>
            <w:u w:val="single" w:color="auto"/>
            <w:color w:val="0000EE"/>
          </w:rPr>
          <w:t>with the Securities and Exchange Commission on August 11, 2021 and incorporated herein by reference)</w:t>
        </w:r>
      </w:hyperlink>
    </w:p>
    <w:p>
      <w:pPr>
        <w:spacing w:after="0" w:line="1" w:lineRule="exact"/>
        <w:rPr>
          <w:sz w:val="20"/>
          <w:szCs w:val="20"/>
          <w:color w:val="auto"/>
        </w:rPr>
      </w:pPr>
    </w:p>
    <w:p>
      <w:pPr>
        <w:ind w:left="880" w:hanging="852"/>
        <w:spacing w:after="0" w:line="260" w:lineRule="auto"/>
        <w:tabs>
          <w:tab w:leader="none" w:pos="8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10.15**</w:t>
      </w:r>
      <w:r>
        <w:rPr>
          <w:sz w:val="20"/>
          <w:szCs w:val="20"/>
          <w:color w:val="auto"/>
        </w:rPr>
        <w:tab/>
      </w:r>
      <w:hyperlink r:id="rId61">
        <w:r>
          <w:rPr>
            <w:rFonts w:ascii="Times New Roman" w:cs="Times New Roman" w:eastAsia="Times New Roman" w:hAnsi="Times New Roman"/>
            <w:sz w:val="18"/>
            <w:szCs w:val="18"/>
            <w:u w:val="single" w:color="auto"/>
            <w:color w:val="0000EE"/>
          </w:rPr>
          <w:t>Amendment No. 1 to 2021 Stock Incentive Plan (filed as Exhibit 10.1 to the Registrant’s Current Report on Form 8-K filed with the</w:t>
        </w:r>
      </w:hyperlink>
      <w:r>
        <w:rPr>
          <w:rFonts w:ascii="Times New Roman" w:cs="Times New Roman" w:eastAsia="Times New Roman" w:hAnsi="Times New Roman"/>
          <w:sz w:val="18"/>
          <w:szCs w:val="18"/>
          <w:u w:val="single" w:color="auto"/>
          <w:color w:val="0000EE"/>
        </w:rPr>
        <w:t xml:space="preserve"> </w:t>
      </w:r>
      <w:hyperlink r:id="rId61">
        <w:r>
          <w:rPr>
            <w:rFonts w:ascii="Times New Roman" w:cs="Times New Roman" w:eastAsia="Times New Roman" w:hAnsi="Times New Roman"/>
            <w:sz w:val="18"/>
            <w:szCs w:val="18"/>
            <w:u w:val="single" w:color="auto"/>
            <w:color w:val="0000EE"/>
          </w:rPr>
          <w:t>Securities and Exchange Commission on September 4, 2025 and incorporated herein by reference)</w:t>
        </w:r>
      </w:hyperlink>
    </w:p>
    <w:p>
      <w:pPr>
        <w:spacing w:after="0" w:line="397"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460" w:top="333" w:right="339" w:bottom="1440" w:gutter="0" w:footer="0" w:header="0"/>
          <w:type w:val="continuous"/>
        </w:sectPr>
      </w:pPr>
    </w:p>
    <w:bookmarkStart w:id="9" w:name="page10"/>
    <w:bookmarkEnd w:id="9"/>
    <w:tbl>
      <w:tblPr>
        <w:tblLayout w:type="fixed"/>
        <w:tblInd w:w="0" w:type="dxa"/>
        <w:tblCellMar>
          <w:top w:w="0" w:type="dxa"/>
          <w:left w:w="0" w:type="dxa"/>
          <w:bottom w:w="0" w:type="dxa"/>
          <w:right w:w="0" w:type="dxa"/>
        </w:tblCellMar>
      </w:tblP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45"/>
        </w:trPr>
        <w:tc>
          <w:tcPr>
            <w:tcW w:w="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6060" w:type="dxa"/>
            <w:vAlign w:val="bottom"/>
            <w:tcBorders>
              <w:bottom w:val="single" w:sz="8" w:color="auto"/>
            </w:tcBorders>
            <w:gridSpan w:val="13"/>
          </w:tcPr>
          <w:p>
            <w:pPr>
              <w:ind w:left="5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5"/>
        </w:trPr>
        <w:tc>
          <w:tcPr>
            <w:tcW w:w="9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10.16**</w:t>
            </w:r>
          </w:p>
        </w:tc>
        <w:tc>
          <w:tcPr>
            <w:tcW w:w="1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0000EE"/>
            </w:tcBorders>
            <w:shd w:val="clear" w:color="auto" w:fill="CCEEFF"/>
          </w:tcPr>
          <w:p>
            <w:pPr>
              <w:spacing w:after="0"/>
              <w:rPr>
                <w:sz w:val="15"/>
                <w:szCs w:val="15"/>
                <w:color w:val="auto"/>
              </w:rPr>
            </w:pPr>
          </w:p>
        </w:tc>
        <w:tc>
          <w:tcPr>
            <w:tcW w:w="10200" w:type="dxa"/>
            <w:vAlign w:val="bottom"/>
            <w:tcBorders>
              <w:bottom w:val="single" w:sz="8" w:color="0000EE"/>
              <w:right w:val="single" w:sz="8" w:color="CCEEFF"/>
            </w:tcBorders>
            <w:gridSpan w:val="18"/>
            <w:shd w:val="clear" w:color="auto" w:fill="CCEEFF"/>
          </w:tcPr>
          <w:p>
            <w:pPr>
              <w:spacing w:after="0" w:line="176" w:lineRule="exact"/>
              <w:rPr>
                <w:rFonts w:ascii="Times New Roman" w:cs="Times New Roman" w:eastAsia="Times New Roman" w:hAnsi="Times New Roman"/>
                <w:sz w:val="18"/>
                <w:szCs w:val="18"/>
                <w:color w:val="0000EE"/>
              </w:rPr>
            </w:pPr>
            <w:hyperlink r:id="rId63">
              <w:r>
                <w:rPr>
                  <w:rFonts w:ascii="Times New Roman" w:cs="Times New Roman" w:eastAsia="Times New Roman" w:hAnsi="Times New Roman"/>
                  <w:sz w:val="18"/>
                  <w:szCs w:val="18"/>
                  <w:color w:val="0000EE"/>
                </w:rPr>
                <w:t>FTC Solar, Inc. 2021 Employee Stock Purchase Plan (filed as Exhibit 10.7 to the Registrant’s Quarterly Report on Form 10-Q with the</w:t>
              </w:r>
            </w:hyperlink>
          </w:p>
        </w:tc>
      </w:tr>
      <w:tr>
        <w:trPr>
          <w:trHeight w:val="196"/>
        </w:trPr>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20" w:type="dxa"/>
            <w:vAlign w:val="bottom"/>
            <w:tcBorders>
              <w:right w:val="single" w:sz="8" w:color="CCEEFF"/>
            </w:tcBorders>
            <w:gridSpan w:val="19"/>
            <w:shd w:val="clear" w:color="auto" w:fill="CCEEFF"/>
          </w:tcPr>
          <w:p>
            <w:pPr>
              <w:spacing w:after="0" w:line="196" w:lineRule="exact"/>
              <w:rPr>
                <w:rFonts w:ascii="Times New Roman" w:cs="Times New Roman" w:eastAsia="Times New Roman" w:hAnsi="Times New Roman"/>
                <w:sz w:val="18"/>
                <w:szCs w:val="18"/>
                <w:color w:val="0000EE"/>
              </w:rPr>
            </w:pPr>
            <w:hyperlink r:id="rId63">
              <w:r>
                <w:rPr>
                  <w:rFonts w:ascii="Times New Roman" w:cs="Times New Roman" w:eastAsia="Times New Roman" w:hAnsi="Times New Roman"/>
                  <w:sz w:val="18"/>
                  <w:szCs w:val="18"/>
                  <w:color w:val="0000EE"/>
                </w:rPr>
                <w:t>Securities and Exchange Commission on August 11, 2021 and incorporated herein by reference)</w:t>
              </w:r>
            </w:hyperlink>
          </w:p>
        </w:tc>
      </w:tr>
      <w:tr>
        <w:trPr>
          <w:trHeight w:val="21"/>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92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98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9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r>
      <w:tr>
        <w:trPr>
          <w:trHeight w:val="175"/>
        </w:trPr>
        <w:tc>
          <w:tcPr>
            <w:tcW w:w="9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10.17</w:t>
            </w:r>
          </w:p>
        </w:tc>
        <w:tc>
          <w:tcPr>
            <w:tcW w:w="100" w:type="dxa"/>
            <w:vAlign w:val="bottom"/>
          </w:tcPr>
          <w:p>
            <w:pPr>
              <w:spacing w:after="0"/>
              <w:rPr>
                <w:sz w:val="15"/>
                <w:szCs w:val="15"/>
                <w:color w:val="auto"/>
              </w:rPr>
            </w:pPr>
          </w:p>
        </w:tc>
        <w:tc>
          <w:tcPr>
            <w:tcW w:w="10220" w:type="dxa"/>
            <w:vAlign w:val="bottom"/>
            <w:tcBorders>
              <w:bottom w:val="single" w:sz="8" w:color="0000EE"/>
            </w:tcBorders>
            <w:gridSpan w:val="19"/>
          </w:tcPr>
          <w:p>
            <w:pPr>
              <w:spacing w:after="0" w:line="176" w:lineRule="exact"/>
              <w:rPr>
                <w:rFonts w:ascii="Times New Roman" w:cs="Times New Roman" w:eastAsia="Times New Roman" w:hAnsi="Times New Roman"/>
                <w:sz w:val="18"/>
                <w:szCs w:val="18"/>
                <w:color w:val="0000EE"/>
              </w:rPr>
            </w:pPr>
            <w:hyperlink r:id="rId64">
              <w:r>
                <w:rPr>
                  <w:rFonts w:ascii="Times New Roman" w:cs="Times New Roman" w:eastAsia="Times New Roman" w:hAnsi="Times New Roman"/>
                  <w:sz w:val="18"/>
                  <w:szCs w:val="18"/>
                  <w:color w:val="0000EE"/>
                </w:rPr>
                <w:t>Form of Indemnification Agreement (filed as Exhibit 10.4 to the Registrant’s Registration Statement on Form S-1 filed with the Securities</w:t>
              </w:r>
            </w:hyperlink>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20" w:type="dxa"/>
            <w:vAlign w:val="bottom"/>
            <w:gridSpan w:val="19"/>
          </w:tcPr>
          <w:p>
            <w:pPr>
              <w:spacing w:after="0" w:line="196" w:lineRule="exact"/>
              <w:rPr>
                <w:rFonts w:ascii="Times New Roman" w:cs="Times New Roman" w:eastAsia="Times New Roman" w:hAnsi="Times New Roman"/>
                <w:sz w:val="18"/>
                <w:szCs w:val="18"/>
                <w:color w:val="0000EE"/>
              </w:rPr>
            </w:pPr>
            <w:hyperlink r:id="rId64">
              <w:r>
                <w:rPr>
                  <w:rFonts w:ascii="Times New Roman" w:cs="Times New Roman" w:eastAsia="Times New Roman" w:hAnsi="Times New Roman"/>
                  <w:sz w:val="18"/>
                  <w:szCs w:val="18"/>
                  <w:color w:val="0000EE"/>
                </w:rPr>
                <w:t>and Exchange Commission on April 19, 2021 and incorporated herein by reference)</w:t>
              </w:r>
            </w:hyperlink>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76"/>
        </w:trPr>
        <w:tc>
          <w:tcPr>
            <w:tcW w:w="9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10.18**</w:t>
            </w:r>
          </w:p>
        </w:tc>
        <w:tc>
          <w:tcPr>
            <w:tcW w:w="100" w:type="dxa"/>
            <w:vAlign w:val="bottom"/>
            <w:tcBorders>
              <w:bottom w:val="single" w:sz="8" w:color="CCEEFF"/>
            </w:tcBorders>
            <w:shd w:val="clear" w:color="auto" w:fill="CCEEFF"/>
          </w:tcPr>
          <w:p>
            <w:pPr>
              <w:spacing w:after="0"/>
              <w:rPr>
                <w:sz w:val="15"/>
                <w:szCs w:val="15"/>
                <w:color w:val="auto"/>
              </w:rPr>
            </w:pPr>
          </w:p>
        </w:tc>
        <w:tc>
          <w:tcPr>
            <w:tcW w:w="10220" w:type="dxa"/>
            <w:vAlign w:val="bottom"/>
            <w:tcBorders>
              <w:bottom w:val="single" w:sz="8" w:color="0000EE"/>
              <w:right w:val="single" w:sz="8" w:color="CCEEFF"/>
            </w:tcBorders>
            <w:gridSpan w:val="19"/>
            <w:shd w:val="clear" w:color="auto" w:fill="CCEEFF"/>
          </w:tcPr>
          <w:p>
            <w:pPr>
              <w:spacing w:after="0" w:line="176" w:lineRule="exact"/>
              <w:rPr>
                <w:rFonts w:ascii="Times New Roman" w:cs="Times New Roman" w:eastAsia="Times New Roman" w:hAnsi="Times New Roman"/>
                <w:sz w:val="18"/>
                <w:szCs w:val="18"/>
                <w:color w:val="0000EE"/>
              </w:rPr>
            </w:pPr>
            <w:hyperlink r:id="rId65">
              <w:r>
                <w:rPr>
                  <w:rFonts w:ascii="Times New Roman" w:cs="Times New Roman" w:eastAsia="Times New Roman" w:hAnsi="Times New Roman"/>
                  <w:sz w:val="18"/>
                  <w:szCs w:val="18"/>
                  <w:color w:val="0000EE"/>
                </w:rPr>
                <w:t>Employment Agreement, dated July 17, 2024, between FTC Solar, Inc. and Yann Brandt (filed as Exhibit 10.1 to the Registrant’s Current</w:t>
              </w:r>
            </w:hyperlink>
          </w:p>
        </w:tc>
      </w:tr>
      <w:tr>
        <w:trPr>
          <w:trHeight w:val="196"/>
        </w:trPr>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20" w:type="dxa"/>
            <w:vAlign w:val="bottom"/>
            <w:tcBorders>
              <w:right w:val="single" w:sz="8" w:color="CCEEFF"/>
            </w:tcBorders>
            <w:gridSpan w:val="19"/>
            <w:shd w:val="clear" w:color="auto" w:fill="CCEEFF"/>
          </w:tcPr>
          <w:p>
            <w:pPr>
              <w:spacing w:after="0" w:line="196" w:lineRule="exact"/>
              <w:rPr>
                <w:rFonts w:ascii="Times New Roman" w:cs="Times New Roman" w:eastAsia="Times New Roman" w:hAnsi="Times New Roman"/>
                <w:sz w:val="18"/>
                <w:szCs w:val="18"/>
                <w:color w:val="0000EE"/>
              </w:rPr>
            </w:pPr>
            <w:hyperlink r:id="rId65">
              <w:r>
                <w:rPr>
                  <w:rFonts w:ascii="Times New Roman" w:cs="Times New Roman" w:eastAsia="Times New Roman" w:hAnsi="Times New Roman"/>
                  <w:sz w:val="18"/>
                  <w:szCs w:val="18"/>
                  <w:color w:val="0000EE"/>
                </w:rPr>
                <w:t>Report on Form 8-K filed with Securities and Exchange Commission on July 23, 2024 and incorporated herein by reference)</w:t>
              </w:r>
            </w:hyperlink>
          </w:p>
        </w:tc>
      </w:tr>
      <w:tr>
        <w:trPr>
          <w:trHeight w:val="21"/>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92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98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9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138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r>
      <w:tr>
        <w:trPr>
          <w:trHeight w:val="175"/>
        </w:trPr>
        <w:tc>
          <w:tcPr>
            <w:tcW w:w="9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10.19**</w:t>
            </w:r>
          </w:p>
        </w:tc>
        <w:tc>
          <w:tcPr>
            <w:tcW w:w="100" w:type="dxa"/>
            <w:vAlign w:val="bottom"/>
          </w:tcPr>
          <w:p>
            <w:pPr>
              <w:spacing w:after="0"/>
              <w:rPr>
                <w:sz w:val="15"/>
                <w:szCs w:val="15"/>
                <w:color w:val="auto"/>
              </w:rPr>
            </w:pPr>
          </w:p>
        </w:tc>
        <w:tc>
          <w:tcPr>
            <w:tcW w:w="10220" w:type="dxa"/>
            <w:vAlign w:val="bottom"/>
            <w:tcBorders>
              <w:bottom w:val="single" w:sz="8" w:color="0000EE"/>
            </w:tcBorders>
            <w:gridSpan w:val="19"/>
          </w:tcPr>
          <w:p>
            <w:pPr>
              <w:spacing w:after="0" w:line="176" w:lineRule="exact"/>
              <w:rPr>
                <w:rFonts w:ascii="Times New Roman" w:cs="Times New Roman" w:eastAsia="Times New Roman" w:hAnsi="Times New Roman"/>
                <w:sz w:val="18"/>
                <w:szCs w:val="18"/>
                <w:color w:val="0000EE"/>
              </w:rPr>
            </w:pPr>
            <w:hyperlink r:id="rId66">
              <w:r>
                <w:rPr>
                  <w:rFonts w:ascii="Times New Roman" w:cs="Times New Roman" w:eastAsia="Times New Roman" w:hAnsi="Times New Roman"/>
                  <w:sz w:val="18"/>
                  <w:szCs w:val="18"/>
                  <w:color w:val="0000EE"/>
                </w:rPr>
                <w:t>Employment Agreement, dated April 30, 2021, between FTC Solar, Inc. and Cathy Behnen (filed as Exhibit 10.12 to the Registrant’s Annual</w:t>
              </w:r>
            </w:hyperlink>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20" w:type="dxa"/>
            <w:vAlign w:val="bottom"/>
            <w:gridSpan w:val="19"/>
          </w:tcPr>
          <w:p>
            <w:pPr>
              <w:spacing w:after="0" w:line="196" w:lineRule="exact"/>
              <w:rPr>
                <w:rFonts w:ascii="Times New Roman" w:cs="Times New Roman" w:eastAsia="Times New Roman" w:hAnsi="Times New Roman"/>
                <w:sz w:val="18"/>
                <w:szCs w:val="18"/>
                <w:color w:val="0000EE"/>
              </w:rPr>
            </w:pPr>
            <w:hyperlink r:id="rId66">
              <w:r>
                <w:rPr>
                  <w:rFonts w:ascii="Times New Roman" w:cs="Times New Roman" w:eastAsia="Times New Roman" w:hAnsi="Times New Roman"/>
                  <w:sz w:val="18"/>
                  <w:szCs w:val="18"/>
                  <w:color w:val="0000EE"/>
                </w:rPr>
                <w:t>Report on Form 10-K filed March 31, 2025 and incorporated herein by reference)</w:t>
              </w:r>
            </w:hyperlink>
          </w:p>
        </w:tc>
      </w:tr>
      <w:tr>
        <w:trPr>
          <w:trHeight w:val="21"/>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76"/>
        </w:trPr>
        <w:tc>
          <w:tcPr>
            <w:tcW w:w="9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10.20**</w:t>
            </w:r>
          </w:p>
        </w:tc>
        <w:tc>
          <w:tcPr>
            <w:tcW w:w="100" w:type="dxa"/>
            <w:vAlign w:val="bottom"/>
            <w:tcBorders>
              <w:bottom w:val="single" w:sz="8" w:color="CCEEFF"/>
            </w:tcBorders>
            <w:shd w:val="clear" w:color="auto" w:fill="CCEEFF"/>
          </w:tcPr>
          <w:p>
            <w:pPr>
              <w:spacing w:after="0"/>
              <w:rPr>
                <w:sz w:val="15"/>
                <w:szCs w:val="15"/>
                <w:color w:val="auto"/>
              </w:rPr>
            </w:pPr>
          </w:p>
        </w:tc>
        <w:tc>
          <w:tcPr>
            <w:tcW w:w="10220" w:type="dxa"/>
            <w:vAlign w:val="bottom"/>
            <w:tcBorders>
              <w:bottom w:val="single" w:sz="8" w:color="0000EE"/>
              <w:right w:val="single" w:sz="8" w:color="CCEEFF"/>
            </w:tcBorders>
            <w:gridSpan w:val="19"/>
            <w:shd w:val="clear" w:color="auto" w:fill="CCEEFF"/>
          </w:tcPr>
          <w:p>
            <w:pPr>
              <w:spacing w:after="0" w:line="176" w:lineRule="exact"/>
              <w:rPr>
                <w:rFonts w:ascii="Times New Roman" w:cs="Times New Roman" w:eastAsia="Times New Roman" w:hAnsi="Times New Roman"/>
                <w:sz w:val="18"/>
                <w:szCs w:val="18"/>
                <w:color w:val="0000EE"/>
              </w:rPr>
            </w:pPr>
            <w:hyperlink r:id="rId67">
              <w:r>
                <w:rPr>
                  <w:rFonts w:ascii="Times New Roman" w:cs="Times New Roman" w:eastAsia="Times New Roman" w:hAnsi="Times New Roman"/>
                  <w:sz w:val="18"/>
                  <w:szCs w:val="18"/>
                  <w:color w:val="0000EE"/>
                </w:rPr>
                <w:t>Amendment dated August 17, 2022 to Employment Agreement between FTC Solar, Inc. and Cathy Behnen (filed as Exhibit 10.13 to the</w:t>
              </w:r>
            </w:hyperlink>
          </w:p>
        </w:tc>
      </w:tr>
      <w:tr>
        <w:trPr>
          <w:trHeight w:val="196"/>
        </w:trPr>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20" w:type="dxa"/>
            <w:vAlign w:val="bottom"/>
            <w:tcBorders>
              <w:right w:val="single" w:sz="8" w:color="CCEEFF"/>
            </w:tcBorders>
            <w:gridSpan w:val="19"/>
            <w:shd w:val="clear" w:color="auto" w:fill="CCEEFF"/>
          </w:tcPr>
          <w:p>
            <w:pPr>
              <w:spacing w:after="0" w:line="196" w:lineRule="exact"/>
              <w:rPr>
                <w:rFonts w:ascii="Times New Roman" w:cs="Times New Roman" w:eastAsia="Times New Roman" w:hAnsi="Times New Roman"/>
                <w:sz w:val="18"/>
                <w:szCs w:val="18"/>
                <w:color w:val="0000EE"/>
              </w:rPr>
            </w:pPr>
            <w:hyperlink r:id="rId67">
              <w:r>
                <w:rPr>
                  <w:rFonts w:ascii="Times New Roman" w:cs="Times New Roman" w:eastAsia="Times New Roman" w:hAnsi="Times New Roman"/>
                  <w:sz w:val="18"/>
                  <w:szCs w:val="18"/>
                  <w:color w:val="0000EE"/>
                </w:rPr>
                <w:t>Registrant’s Annual Report on Form 10-K filed March 31, 2025 and incorporated herein by reference)</w:t>
              </w:r>
            </w:hyperlink>
          </w:p>
        </w:tc>
      </w:tr>
      <w:tr>
        <w:trPr>
          <w:trHeight w:val="20"/>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92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98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9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r>
      <w:tr>
        <w:trPr>
          <w:trHeight w:val="176"/>
        </w:trPr>
        <w:tc>
          <w:tcPr>
            <w:tcW w:w="9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10.21**</w:t>
            </w:r>
          </w:p>
        </w:tc>
        <w:tc>
          <w:tcPr>
            <w:tcW w:w="100" w:type="dxa"/>
            <w:vAlign w:val="bottom"/>
          </w:tcPr>
          <w:p>
            <w:pPr>
              <w:spacing w:after="0"/>
              <w:rPr>
                <w:sz w:val="15"/>
                <w:szCs w:val="15"/>
                <w:color w:val="auto"/>
              </w:rPr>
            </w:pPr>
          </w:p>
        </w:tc>
        <w:tc>
          <w:tcPr>
            <w:tcW w:w="10220" w:type="dxa"/>
            <w:vAlign w:val="bottom"/>
            <w:tcBorders>
              <w:bottom w:val="single" w:sz="8" w:color="0000EE"/>
            </w:tcBorders>
            <w:gridSpan w:val="19"/>
          </w:tcPr>
          <w:p>
            <w:pPr>
              <w:spacing w:after="0" w:line="176" w:lineRule="exact"/>
              <w:rPr>
                <w:rFonts w:ascii="Times New Roman" w:cs="Times New Roman" w:eastAsia="Times New Roman" w:hAnsi="Times New Roman"/>
                <w:sz w:val="18"/>
                <w:szCs w:val="18"/>
                <w:color w:val="0000EE"/>
              </w:rPr>
            </w:pPr>
            <w:hyperlink r:id="rId68">
              <w:r>
                <w:rPr>
                  <w:rFonts w:ascii="Times New Roman" w:cs="Times New Roman" w:eastAsia="Times New Roman" w:hAnsi="Times New Roman"/>
                  <w:sz w:val="18"/>
                  <w:szCs w:val="18"/>
                  <w:color w:val="0000EE"/>
                </w:rPr>
                <w:t>Amendment dated May 11, 2023 to Employment Agreement between FTC Solar, Inc. and Cathy Behnen (filed as Exhibit 10.14 to the</w:t>
              </w:r>
            </w:hyperlink>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20" w:type="dxa"/>
            <w:vAlign w:val="bottom"/>
            <w:gridSpan w:val="19"/>
          </w:tcPr>
          <w:p>
            <w:pPr>
              <w:spacing w:after="0" w:line="196" w:lineRule="exact"/>
              <w:rPr>
                <w:rFonts w:ascii="Times New Roman" w:cs="Times New Roman" w:eastAsia="Times New Roman" w:hAnsi="Times New Roman"/>
                <w:sz w:val="18"/>
                <w:szCs w:val="18"/>
                <w:color w:val="0000EE"/>
              </w:rPr>
            </w:pPr>
            <w:hyperlink r:id="rId68">
              <w:r>
                <w:rPr>
                  <w:rFonts w:ascii="Times New Roman" w:cs="Times New Roman" w:eastAsia="Times New Roman" w:hAnsi="Times New Roman"/>
                  <w:sz w:val="18"/>
                  <w:szCs w:val="18"/>
                  <w:color w:val="0000EE"/>
                </w:rPr>
                <w:t>Registrant’s Annual Report on Form 10-K filed March 31, 2025 and incorporated herein by reference)</w:t>
              </w:r>
            </w:hyperlink>
          </w:p>
        </w:tc>
      </w:tr>
      <w:tr>
        <w:trPr>
          <w:trHeight w:val="21"/>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75"/>
        </w:trPr>
        <w:tc>
          <w:tcPr>
            <w:tcW w:w="9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10.22**</w:t>
            </w:r>
          </w:p>
        </w:tc>
        <w:tc>
          <w:tcPr>
            <w:tcW w:w="100" w:type="dxa"/>
            <w:vAlign w:val="bottom"/>
            <w:tcBorders>
              <w:bottom w:val="single" w:sz="8" w:color="CCEEFF"/>
            </w:tcBorders>
            <w:shd w:val="clear" w:color="auto" w:fill="CCEEFF"/>
          </w:tcPr>
          <w:p>
            <w:pPr>
              <w:spacing w:after="0"/>
              <w:rPr>
                <w:sz w:val="15"/>
                <w:szCs w:val="15"/>
                <w:color w:val="auto"/>
              </w:rPr>
            </w:pPr>
          </w:p>
        </w:tc>
        <w:tc>
          <w:tcPr>
            <w:tcW w:w="10220" w:type="dxa"/>
            <w:vAlign w:val="bottom"/>
            <w:tcBorders>
              <w:bottom w:val="single" w:sz="8" w:color="0000EE"/>
              <w:right w:val="single" w:sz="8" w:color="CCEEFF"/>
            </w:tcBorders>
            <w:gridSpan w:val="19"/>
            <w:shd w:val="clear" w:color="auto" w:fill="CCEEFF"/>
          </w:tcPr>
          <w:p>
            <w:pPr>
              <w:spacing w:after="0" w:line="176" w:lineRule="exact"/>
              <w:rPr>
                <w:rFonts w:ascii="Times New Roman" w:cs="Times New Roman" w:eastAsia="Times New Roman" w:hAnsi="Times New Roman"/>
                <w:sz w:val="18"/>
                <w:szCs w:val="18"/>
                <w:color w:val="0000EE"/>
              </w:rPr>
            </w:pPr>
            <w:hyperlink r:id="rId69">
              <w:r>
                <w:rPr>
                  <w:rFonts w:ascii="Times New Roman" w:cs="Times New Roman" w:eastAsia="Times New Roman" w:hAnsi="Times New Roman"/>
                  <w:sz w:val="18"/>
                  <w:szCs w:val="18"/>
                  <w:color w:val="0000EE"/>
                </w:rPr>
                <w:t>Employment Agreement by and between FTC Solar, Inc. and Sasan Aminpour (filed as Exhibit 10.14 to the Registrant’s Annual Report on</w:t>
              </w:r>
            </w:hyperlink>
          </w:p>
        </w:tc>
      </w:tr>
      <w:tr>
        <w:trPr>
          <w:trHeight w:val="196"/>
        </w:trPr>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20" w:type="dxa"/>
            <w:vAlign w:val="bottom"/>
            <w:tcBorders>
              <w:right w:val="single" w:sz="8" w:color="CCEEFF"/>
            </w:tcBorders>
            <w:gridSpan w:val="19"/>
            <w:shd w:val="clear" w:color="auto" w:fill="CCEEFF"/>
          </w:tcPr>
          <w:p>
            <w:pPr>
              <w:spacing w:after="0" w:line="196" w:lineRule="exact"/>
              <w:rPr>
                <w:rFonts w:ascii="Times New Roman" w:cs="Times New Roman" w:eastAsia="Times New Roman" w:hAnsi="Times New Roman"/>
                <w:sz w:val="18"/>
                <w:szCs w:val="18"/>
                <w:color w:val="0000EE"/>
              </w:rPr>
            </w:pPr>
            <w:hyperlink r:id="rId69">
              <w:r>
                <w:rPr>
                  <w:rFonts w:ascii="Times New Roman" w:cs="Times New Roman" w:eastAsia="Times New Roman" w:hAnsi="Times New Roman"/>
                  <w:sz w:val="18"/>
                  <w:szCs w:val="18"/>
                  <w:color w:val="0000EE"/>
                </w:rPr>
                <w:t>Form 10-K filed with the Securities and Exchange Commission on March 15, 2024 and incorporated herein by reference)</w:t>
              </w:r>
            </w:hyperlink>
          </w:p>
        </w:tc>
      </w:tr>
      <w:tr>
        <w:trPr>
          <w:trHeight w:val="21"/>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92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98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9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138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r>
      <w:tr>
        <w:trPr>
          <w:trHeight w:val="176"/>
        </w:trPr>
        <w:tc>
          <w:tcPr>
            <w:tcW w:w="9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10.23**</w:t>
            </w:r>
          </w:p>
        </w:tc>
        <w:tc>
          <w:tcPr>
            <w:tcW w:w="100" w:type="dxa"/>
            <w:vAlign w:val="bottom"/>
          </w:tcPr>
          <w:p>
            <w:pPr>
              <w:spacing w:after="0"/>
              <w:rPr>
                <w:sz w:val="15"/>
                <w:szCs w:val="15"/>
                <w:color w:val="auto"/>
              </w:rPr>
            </w:pPr>
          </w:p>
        </w:tc>
        <w:tc>
          <w:tcPr>
            <w:tcW w:w="10220" w:type="dxa"/>
            <w:vAlign w:val="bottom"/>
            <w:tcBorders>
              <w:bottom w:val="single" w:sz="8" w:color="0000EE"/>
            </w:tcBorders>
            <w:gridSpan w:val="19"/>
          </w:tcPr>
          <w:p>
            <w:pPr>
              <w:spacing w:after="0" w:line="176" w:lineRule="exact"/>
              <w:rPr>
                <w:rFonts w:ascii="Times New Roman" w:cs="Times New Roman" w:eastAsia="Times New Roman" w:hAnsi="Times New Roman"/>
                <w:sz w:val="18"/>
                <w:szCs w:val="18"/>
                <w:color w:val="0000EE"/>
              </w:rPr>
            </w:pPr>
            <w:hyperlink r:id="rId70">
              <w:r>
                <w:rPr>
                  <w:rFonts w:ascii="Times New Roman" w:cs="Times New Roman" w:eastAsia="Times New Roman" w:hAnsi="Times New Roman"/>
                  <w:sz w:val="18"/>
                  <w:szCs w:val="18"/>
                  <w:color w:val="0000EE"/>
                </w:rPr>
                <w:t>Form of Restricted Stock Unit Inducement Agreement between the Registrant and Yann Brandt (filed as Exhibit 99.1 to the Registrant’s</w:t>
              </w:r>
            </w:hyperlink>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20" w:type="dxa"/>
            <w:vAlign w:val="bottom"/>
            <w:gridSpan w:val="19"/>
          </w:tcPr>
          <w:p>
            <w:pPr>
              <w:spacing w:after="0" w:line="196" w:lineRule="exact"/>
              <w:rPr>
                <w:rFonts w:ascii="Times New Roman" w:cs="Times New Roman" w:eastAsia="Times New Roman" w:hAnsi="Times New Roman"/>
                <w:sz w:val="18"/>
                <w:szCs w:val="18"/>
                <w:color w:val="0000EE"/>
              </w:rPr>
            </w:pPr>
            <w:hyperlink r:id="rId70">
              <w:r>
                <w:rPr>
                  <w:rFonts w:ascii="Times New Roman" w:cs="Times New Roman" w:eastAsia="Times New Roman" w:hAnsi="Times New Roman"/>
                  <w:sz w:val="18"/>
                  <w:szCs w:val="18"/>
                  <w:color w:val="0000EE"/>
                </w:rPr>
                <w:t>Current Report on Form S-8 filed with the Securities and Exchange Commission on August 16, 2024 and incorporated herein by reference).</w:t>
              </w:r>
            </w:hyperlink>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3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76"/>
        </w:trPr>
        <w:tc>
          <w:tcPr>
            <w:tcW w:w="9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10.24**</w:t>
            </w:r>
          </w:p>
        </w:tc>
        <w:tc>
          <w:tcPr>
            <w:tcW w:w="100" w:type="dxa"/>
            <w:vAlign w:val="bottom"/>
            <w:tcBorders>
              <w:bottom w:val="single" w:sz="8" w:color="CCEEFF"/>
            </w:tcBorders>
            <w:shd w:val="clear" w:color="auto" w:fill="CCEEFF"/>
          </w:tcPr>
          <w:p>
            <w:pPr>
              <w:spacing w:after="0"/>
              <w:rPr>
                <w:sz w:val="15"/>
                <w:szCs w:val="15"/>
                <w:color w:val="auto"/>
              </w:rPr>
            </w:pPr>
          </w:p>
        </w:tc>
        <w:tc>
          <w:tcPr>
            <w:tcW w:w="10220" w:type="dxa"/>
            <w:vAlign w:val="bottom"/>
            <w:tcBorders>
              <w:bottom w:val="single" w:sz="8" w:color="0000EE"/>
              <w:right w:val="single" w:sz="8" w:color="CCEEFF"/>
            </w:tcBorders>
            <w:gridSpan w:val="19"/>
            <w:shd w:val="clear" w:color="auto" w:fill="CCEEFF"/>
          </w:tcPr>
          <w:p>
            <w:pPr>
              <w:spacing w:after="0" w:line="176" w:lineRule="exact"/>
              <w:rPr>
                <w:rFonts w:ascii="Times New Roman" w:cs="Times New Roman" w:eastAsia="Times New Roman" w:hAnsi="Times New Roman"/>
                <w:sz w:val="18"/>
                <w:szCs w:val="18"/>
                <w:color w:val="0000EE"/>
              </w:rPr>
            </w:pPr>
            <w:hyperlink r:id="rId71">
              <w:r>
                <w:rPr>
                  <w:rFonts w:ascii="Times New Roman" w:cs="Times New Roman" w:eastAsia="Times New Roman" w:hAnsi="Times New Roman"/>
                  <w:sz w:val="18"/>
                  <w:szCs w:val="18"/>
                  <w:color w:val="0000EE"/>
                </w:rPr>
                <w:t>Form of Share Target Restricted Stock Unit Inducement Agreement between the Registrant and Yann Brandt (filed as Exhibit 99.2 to the</w:t>
              </w:r>
            </w:hyperlink>
          </w:p>
        </w:tc>
      </w:tr>
      <w:tr>
        <w:trPr>
          <w:trHeight w:val="196"/>
        </w:trPr>
        <w:tc>
          <w:tcPr>
            <w:tcW w:w="9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220" w:type="dxa"/>
            <w:vAlign w:val="bottom"/>
            <w:tcBorders>
              <w:bottom w:val="single" w:sz="8" w:color="0000EE"/>
              <w:right w:val="single" w:sz="8" w:color="CCEEFF"/>
            </w:tcBorders>
            <w:gridSpan w:val="19"/>
            <w:shd w:val="clear" w:color="auto" w:fill="CCEEFF"/>
          </w:tcPr>
          <w:p>
            <w:pPr>
              <w:spacing w:after="0" w:line="196" w:lineRule="exact"/>
              <w:rPr>
                <w:rFonts w:ascii="Times New Roman" w:cs="Times New Roman" w:eastAsia="Times New Roman" w:hAnsi="Times New Roman"/>
                <w:sz w:val="18"/>
                <w:szCs w:val="18"/>
                <w:color w:val="0000EE"/>
              </w:rPr>
            </w:pPr>
            <w:hyperlink r:id="rId71">
              <w:r>
                <w:rPr>
                  <w:rFonts w:ascii="Times New Roman" w:cs="Times New Roman" w:eastAsia="Times New Roman" w:hAnsi="Times New Roman"/>
                  <w:sz w:val="18"/>
                  <w:szCs w:val="18"/>
                  <w:color w:val="0000EE"/>
                </w:rPr>
                <w:t>Registrant’s Registration Statement on Form S-8 filed with the Securities and Exchange Commission on August 16, 2024 and incorporated</w:t>
              </w:r>
            </w:hyperlink>
          </w:p>
        </w:tc>
      </w:tr>
      <w:tr>
        <w:trPr>
          <w:trHeight w:val="196"/>
        </w:trPr>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20" w:type="dxa"/>
            <w:vAlign w:val="bottom"/>
            <w:tcBorders>
              <w:right w:val="single" w:sz="8" w:color="CCEEFF"/>
            </w:tcBorders>
            <w:gridSpan w:val="19"/>
            <w:shd w:val="clear" w:color="auto" w:fill="CCEEFF"/>
          </w:tcPr>
          <w:p>
            <w:pPr>
              <w:spacing w:after="0" w:line="196" w:lineRule="exact"/>
              <w:rPr>
                <w:rFonts w:ascii="Times New Roman" w:cs="Times New Roman" w:eastAsia="Times New Roman" w:hAnsi="Times New Roman"/>
                <w:sz w:val="18"/>
                <w:szCs w:val="18"/>
                <w:color w:val="0000EE"/>
              </w:rPr>
            </w:pPr>
            <w:hyperlink r:id="rId71">
              <w:r>
                <w:rPr>
                  <w:rFonts w:ascii="Times New Roman" w:cs="Times New Roman" w:eastAsia="Times New Roman" w:hAnsi="Times New Roman"/>
                  <w:sz w:val="18"/>
                  <w:szCs w:val="18"/>
                  <w:color w:val="0000EE"/>
                </w:rPr>
                <w:t>herein by reference).</w:t>
              </w:r>
            </w:hyperlink>
          </w:p>
        </w:tc>
      </w:tr>
      <w:tr>
        <w:trPr>
          <w:trHeight w:val="21"/>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r>
      <w:tr>
        <w:trPr>
          <w:trHeight w:val="176"/>
        </w:trPr>
        <w:tc>
          <w:tcPr>
            <w:tcW w:w="9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14.1</w:t>
            </w:r>
          </w:p>
        </w:tc>
        <w:tc>
          <w:tcPr>
            <w:tcW w:w="100" w:type="dxa"/>
            <w:vAlign w:val="bottom"/>
          </w:tcPr>
          <w:p>
            <w:pPr>
              <w:spacing w:after="0"/>
              <w:rPr>
                <w:sz w:val="15"/>
                <w:szCs w:val="15"/>
                <w:color w:val="auto"/>
              </w:rPr>
            </w:pPr>
          </w:p>
        </w:tc>
        <w:tc>
          <w:tcPr>
            <w:tcW w:w="10220" w:type="dxa"/>
            <w:vAlign w:val="bottom"/>
            <w:tcBorders>
              <w:bottom w:val="single" w:sz="8" w:color="0000EE"/>
            </w:tcBorders>
            <w:gridSpan w:val="19"/>
          </w:tcPr>
          <w:p>
            <w:pPr>
              <w:spacing w:after="0" w:line="176" w:lineRule="exact"/>
              <w:rPr>
                <w:rFonts w:ascii="Times New Roman" w:cs="Times New Roman" w:eastAsia="Times New Roman" w:hAnsi="Times New Roman"/>
                <w:sz w:val="18"/>
                <w:szCs w:val="18"/>
                <w:color w:val="0000EE"/>
              </w:rPr>
            </w:pPr>
            <w:hyperlink r:id="rId72">
              <w:r>
                <w:rPr>
                  <w:rFonts w:ascii="Times New Roman" w:cs="Times New Roman" w:eastAsia="Times New Roman" w:hAnsi="Times New Roman"/>
                  <w:sz w:val="18"/>
                  <w:szCs w:val="18"/>
                  <w:color w:val="0000EE"/>
                </w:rPr>
                <w:t>Code of Business Conduct and Ethics (filed as Exhibit 14.1 to the Registrant’s Annual Report on Form 10-K filed with the Securities and</w:t>
              </w:r>
            </w:hyperlink>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20" w:type="dxa"/>
            <w:vAlign w:val="bottom"/>
            <w:gridSpan w:val="19"/>
          </w:tcPr>
          <w:p>
            <w:pPr>
              <w:spacing w:after="0" w:line="196" w:lineRule="exact"/>
              <w:rPr>
                <w:rFonts w:ascii="Times New Roman" w:cs="Times New Roman" w:eastAsia="Times New Roman" w:hAnsi="Times New Roman"/>
                <w:sz w:val="18"/>
                <w:szCs w:val="18"/>
                <w:color w:val="0000EE"/>
              </w:rPr>
            </w:pPr>
            <w:hyperlink r:id="rId72">
              <w:r>
                <w:rPr>
                  <w:rFonts w:ascii="Times New Roman" w:cs="Times New Roman" w:eastAsia="Times New Roman" w:hAnsi="Times New Roman"/>
                  <w:sz w:val="18"/>
                  <w:szCs w:val="18"/>
                  <w:color w:val="0000EE"/>
                </w:rPr>
                <w:t>Exchange Commission on March 15, 2024 and incorporated herein by reference)</w:t>
              </w:r>
              <w:r>
                <w:rPr>
                  <w:rFonts w:ascii="Times New Roman" w:cs="Times New Roman" w:eastAsia="Times New Roman" w:hAnsi="Times New Roman"/>
                  <w:sz w:val="18"/>
                  <w:szCs w:val="18"/>
                  <w:color w:val="000000"/>
                </w:rPr>
                <w:t>.</w:t>
              </w:r>
            </w:hyperlink>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76"/>
        </w:trPr>
        <w:tc>
          <w:tcPr>
            <w:tcW w:w="9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19.1</w:t>
            </w:r>
          </w:p>
        </w:tc>
        <w:tc>
          <w:tcPr>
            <w:tcW w:w="100" w:type="dxa"/>
            <w:vAlign w:val="bottom"/>
            <w:shd w:val="clear" w:color="auto" w:fill="CCEEFF"/>
          </w:tcPr>
          <w:p>
            <w:pPr>
              <w:spacing w:after="0"/>
              <w:rPr>
                <w:sz w:val="15"/>
                <w:szCs w:val="15"/>
                <w:color w:val="auto"/>
              </w:rPr>
            </w:pPr>
          </w:p>
        </w:tc>
        <w:tc>
          <w:tcPr>
            <w:tcW w:w="10220" w:type="dxa"/>
            <w:vAlign w:val="bottom"/>
            <w:tcBorders>
              <w:right w:val="single" w:sz="8" w:color="CCEEFF"/>
            </w:tcBorders>
            <w:gridSpan w:val="19"/>
            <w:shd w:val="clear" w:color="auto" w:fill="CCEEFF"/>
          </w:tcPr>
          <w:p>
            <w:pPr>
              <w:spacing w:after="0" w:line="176" w:lineRule="exact"/>
              <w:rPr>
                <w:rFonts w:ascii="Times New Roman" w:cs="Times New Roman" w:eastAsia="Times New Roman" w:hAnsi="Times New Roman"/>
                <w:sz w:val="18"/>
                <w:szCs w:val="18"/>
                <w:color w:val="0000EE"/>
              </w:rPr>
            </w:pPr>
            <w:hyperlink r:id="rId73">
              <w:r>
                <w:rPr>
                  <w:rFonts w:ascii="Times New Roman" w:cs="Times New Roman" w:eastAsia="Times New Roman" w:hAnsi="Times New Roman"/>
                  <w:sz w:val="18"/>
                  <w:szCs w:val="18"/>
                  <w:color w:val="0000EE"/>
                </w:rPr>
                <w:t>Insider Trading Policy (filed as Exhibit 19.1 to the Registrant’s Annual Report on Form 10-K filed with the Securities and Exchange</w:t>
              </w:r>
            </w:hyperlink>
          </w:p>
        </w:tc>
      </w:tr>
      <w:tr>
        <w:trPr>
          <w:trHeight w:val="196"/>
        </w:trPr>
        <w:tc>
          <w:tcPr>
            <w:tcW w:w="9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220" w:type="dxa"/>
            <w:vAlign w:val="bottom"/>
            <w:tcBorders>
              <w:top w:val="single" w:sz="8" w:color="0000EE"/>
              <w:right w:val="single" w:sz="8" w:color="CCEEFF"/>
            </w:tcBorders>
            <w:gridSpan w:val="19"/>
            <w:shd w:val="clear" w:color="auto" w:fill="CCEEFF"/>
          </w:tcPr>
          <w:p>
            <w:pPr>
              <w:spacing w:after="0" w:line="196" w:lineRule="exact"/>
              <w:rPr>
                <w:rFonts w:ascii="Times New Roman" w:cs="Times New Roman" w:eastAsia="Times New Roman" w:hAnsi="Times New Roman"/>
                <w:sz w:val="18"/>
                <w:szCs w:val="18"/>
                <w:color w:val="0000EE"/>
              </w:rPr>
            </w:pPr>
            <w:hyperlink r:id="rId73">
              <w:r>
                <w:rPr>
                  <w:rFonts w:ascii="Times New Roman" w:cs="Times New Roman" w:eastAsia="Times New Roman" w:hAnsi="Times New Roman"/>
                  <w:sz w:val="18"/>
                  <w:szCs w:val="18"/>
                  <w:color w:val="0000EE"/>
                </w:rPr>
                <w:t>Commission on March 15, 2024 and incorporated herein by reference)</w:t>
              </w:r>
              <w:r>
                <w:rPr>
                  <w:rFonts w:ascii="Times New Roman" w:cs="Times New Roman" w:eastAsia="Times New Roman" w:hAnsi="Times New Roman"/>
                  <w:sz w:val="18"/>
                  <w:szCs w:val="18"/>
                  <w:color w:val="000000"/>
                </w:rPr>
                <w:t>.</w:t>
              </w:r>
            </w:hyperlink>
          </w:p>
        </w:tc>
      </w:tr>
      <w:tr>
        <w:trPr>
          <w:trHeight w:val="21"/>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92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98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r>
      <w:tr>
        <w:trPr>
          <w:trHeight w:val="175"/>
        </w:trPr>
        <w:tc>
          <w:tcPr>
            <w:tcW w:w="9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21.1</w:t>
            </w:r>
          </w:p>
        </w:tc>
        <w:tc>
          <w:tcPr>
            <w:tcW w:w="100" w:type="dxa"/>
            <w:vAlign w:val="bottom"/>
          </w:tcPr>
          <w:p>
            <w:pPr>
              <w:spacing w:after="0"/>
              <w:rPr>
                <w:sz w:val="15"/>
                <w:szCs w:val="15"/>
                <w:color w:val="auto"/>
              </w:rPr>
            </w:pPr>
          </w:p>
        </w:tc>
        <w:tc>
          <w:tcPr>
            <w:tcW w:w="10220" w:type="dxa"/>
            <w:vAlign w:val="bottom"/>
            <w:tcBorders>
              <w:bottom w:val="single" w:sz="8" w:color="0000EE"/>
            </w:tcBorders>
            <w:gridSpan w:val="19"/>
          </w:tcPr>
          <w:p>
            <w:pPr>
              <w:spacing w:after="0" w:line="176" w:lineRule="exact"/>
              <w:rPr>
                <w:rFonts w:ascii="Times New Roman" w:cs="Times New Roman" w:eastAsia="Times New Roman" w:hAnsi="Times New Roman"/>
                <w:sz w:val="18"/>
                <w:szCs w:val="18"/>
                <w:color w:val="0000EE"/>
              </w:rPr>
            </w:pPr>
            <w:hyperlink r:id="rId74">
              <w:r>
                <w:rPr>
                  <w:rFonts w:ascii="Times New Roman" w:cs="Times New Roman" w:eastAsia="Times New Roman" w:hAnsi="Times New Roman"/>
                  <w:sz w:val="18"/>
                  <w:szCs w:val="18"/>
                  <w:color w:val="0000EE"/>
                </w:rPr>
                <w:t>List of Subsidiaries of FTC Solar, Inc. (filed as Exhibit 21.1 to the Registrant’s Annual Report on Form 10-K filed with the Securities and</w:t>
              </w:r>
            </w:hyperlink>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20" w:type="dxa"/>
            <w:vAlign w:val="bottom"/>
            <w:gridSpan w:val="19"/>
          </w:tcPr>
          <w:p>
            <w:pPr>
              <w:spacing w:after="0" w:line="196" w:lineRule="exact"/>
              <w:rPr>
                <w:rFonts w:ascii="Times New Roman" w:cs="Times New Roman" w:eastAsia="Times New Roman" w:hAnsi="Times New Roman"/>
                <w:sz w:val="18"/>
                <w:szCs w:val="18"/>
                <w:color w:val="0000EE"/>
              </w:rPr>
            </w:pPr>
            <w:hyperlink r:id="rId74">
              <w:r>
                <w:rPr>
                  <w:rFonts w:ascii="Times New Roman" w:cs="Times New Roman" w:eastAsia="Times New Roman" w:hAnsi="Times New Roman"/>
                  <w:sz w:val="18"/>
                  <w:szCs w:val="18"/>
                  <w:color w:val="0000EE"/>
                </w:rPr>
                <w:t>Exchange Commission on March 24, 2026).</w:t>
              </w:r>
            </w:hyperlink>
          </w:p>
        </w:tc>
      </w:tr>
      <w:tr>
        <w:trPr>
          <w:trHeight w:val="21"/>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76"/>
        </w:trPr>
        <w:tc>
          <w:tcPr>
            <w:tcW w:w="9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23.1</w:t>
            </w:r>
          </w:p>
        </w:tc>
        <w:tc>
          <w:tcPr>
            <w:tcW w:w="100" w:type="dxa"/>
            <w:vAlign w:val="bottom"/>
            <w:tcBorders>
              <w:bottom w:val="single" w:sz="8" w:color="CCEEFF"/>
            </w:tcBorders>
            <w:shd w:val="clear" w:color="auto" w:fill="CCEEFF"/>
          </w:tcPr>
          <w:p>
            <w:pPr>
              <w:spacing w:after="0"/>
              <w:rPr>
                <w:sz w:val="15"/>
                <w:szCs w:val="15"/>
                <w:color w:val="auto"/>
              </w:rPr>
            </w:pPr>
          </w:p>
        </w:tc>
        <w:tc>
          <w:tcPr>
            <w:tcW w:w="10220" w:type="dxa"/>
            <w:vAlign w:val="bottom"/>
            <w:tcBorders>
              <w:bottom w:val="single" w:sz="8" w:color="0000EE"/>
              <w:right w:val="single" w:sz="8" w:color="CCEEFF"/>
            </w:tcBorders>
            <w:gridSpan w:val="19"/>
            <w:shd w:val="clear" w:color="auto" w:fill="CCEEFF"/>
          </w:tcPr>
          <w:p>
            <w:pPr>
              <w:spacing w:after="0" w:line="176" w:lineRule="exact"/>
              <w:rPr>
                <w:rFonts w:ascii="Times New Roman" w:cs="Times New Roman" w:eastAsia="Times New Roman" w:hAnsi="Times New Roman"/>
                <w:sz w:val="18"/>
                <w:szCs w:val="18"/>
                <w:color w:val="0000EE"/>
              </w:rPr>
            </w:pPr>
            <w:hyperlink r:id="rId75">
              <w:r>
                <w:rPr>
                  <w:rFonts w:ascii="Times New Roman" w:cs="Times New Roman" w:eastAsia="Times New Roman" w:hAnsi="Times New Roman"/>
                  <w:sz w:val="18"/>
                  <w:szCs w:val="18"/>
                  <w:color w:val="0000EE"/>
                </w:rPr>
                <w:t>Consent of BDO USA, P.C. (filed as Exhibit 23.1 to the Registrant’s Annual Report on Form 10-K filed with the Securities and Exchange</w:t>
              </w:r>
            </w:hyperlink>
          </w:p>
        </w:tc>
      </w:tr>
      <w:tr>
        <w:trPr>
          <w:trHeight w:val="196"/>
        </w:trPr>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20" w:type="dxa"/>
            <w:vAlign w:val="bottom"/>
            <w:tcBorders>
              <w:right w:val="single" w:sz="8" w:color="CCEEFF"/>
            </w:tcBorders>
            <w:gridSpan w:val="19"/>
            <w:shd w:val="clear" w:color="auto" w:fill="CCEEFF"/>
          </w:tcPr>
          <w:p>
            <w:pPr>
              <w:spacing w:after="0" w:line="196" w:lineRule="exact"/>
              <w:rPr>
                <w:rFonts w:ascii="Times New Roman" w:cs="Times New Roman" w:eastAsia="Times New Roman" w:hAnsi="Times New Roman"/>
                <w:sz w:val="18"/>
                <w:szCs w:val="18"/>
                <w:color w:val="0000EE"/>
              </w:rPr>
            </w:pPr>
            <w:hyperlink r:id="rId75">
              <w:r>
                <w:rPr>
                  <w:rFonts w:ascii="Times New Roman" w:cs="Times New Roman" w:eastAsia="Times New Roman" w:hAnsi="Times New Roman"/>
                  <w:sz w:val="18"/>
                  <w:szCs w:val="18"/>
                  <w:color w:val="0000EE"/>
                </w:rPr>
                <w:t>Commission on March 24, 2026).</w:t>
              </w:r>
            </w:hyperlink>
          </w:p>
        </w:tc>
      </w:tr>
      <w:tr>
        <w:trPr>
          <w:trHeight w:val="20"/>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92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r>
      <w:tr>
        <w:trPr>
          <w:trHeight w:val="175"/>
        </w:trPr>
        <w:tc>
          <w:tcPr>
            <w:tcW w:w="9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24.1</w:t>
            </w:r>
          </w:p>
        </w:tc>
        <w:tc>
          <w:tcPr>
            <w:tcW w:w="100" w:type="dxa"/>
            <w:vAlign w:val="bottom"/>
          </w:tcPr>
          <w:p>
            <w:pPr>
              <w:spacing w:after="0"/>
              <w:rPr>
                <w:sz w:val="15"/>
                <w:szCs w:val="15"/>
                <w:color w:val="auto"/>
              </w:rPr>
            </w:pPr>
          </w:p>
        </w:tc>
        <w:tc>
          <w:tcPr>
            <w:tcW w:w="10220" w:type="dxa"/>
            <w:vAlign w:val="bottom"/>
            <w:gridSpan w:val="19"/>
          </w:tcPr>
          <w:p>
            <w:pPr>
              <w:spacing w:after="0" w:line="176" w:lineRule="exact"/>
              <w:rPr>
                <w:rFonts w:ascii="Times New Roman" w:cs="Times New Roman" w:eastAsia="Times New Roman" w:hAnsi="Times New Roman"/>
                <w:sz w:val="18"/>
                <w:szCs w:val="18"/>
                <w:color w:val="0000EE"/>
              </w:rPr>
            </w:pPr>
            <w:hyperlink r:id="rId76">
              <w:r>
                <w:rPr>
                  <w:rFonts w:ascii="Times New Roman" w:cs="Times New Roman" w:eastAsia="Times New Roman" w:hAnsi="Times New Roman"/>
                  <w:sz w:val="18"/>
                  <w:szCs w:val="18"/>
                  <w:color w:val="0000EE"/>
                </w:rPr>
                <w:t>Power of Attorney (included in signature page to the Registrant’s Annual Report on Form 10-K filed with the Securities and Exchange</w:t>
              </w:r>
            </w:hyperlink>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20" w:type="dxa"/>
            <w:vAlign w:val="bottom"/>
            <w:tcBorders>
              <w:top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76">
              <w:r>
                <w:rPr>
                  <w:rFonts w:ascii="Times New Roman" w:cs="Times New Roman" w:eastAsia="Times New Roman" w:hAnsi="Times New Roman"/>
                  <w:sz w:val="18"/>
                  <w:szCs w:val="18"/>
                  <w:color w:val="0000EE"/>
                </w:rPr>
                <w:t>Commission on March 24, 2026).</w:t>
              </w:r>
            </w:hyperlink>
          </w:p>
        </w:tc>
      </w:tr>
      <w:tr>
        <w:trPr>
          <w:trHeight w:val="21"/>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75"/>
        </w:trPr>
        <w:tc>
          <w:tcPr>
            <w:tcW w:w="9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31.1</w:t>
            </w:r>
          </w:p>
        </w:tc>
        <w:tc>
          <w:tcPr>
            <w:tcW w:w="100" w:type="dxa"/>
            <w:vAlign w:val="bottom"/>
            <w:shd w:val="clear" w:color="auto" w:fill="CCEEFF"/>
          </w:tcPr>
          <w:p>
            <w:pPr>
              <w:spacing w:after="0"/>
              <w:rPr>
                <w:sz w:val="15"/>
                <w:szCs w:val="15"/>
                <w:color w:val="auto"/>
              </w:rPr>
            </w:pPr>
          </w:p>
        </w:tc>
        <w:tc>
          <w:tcPr>
            <w:tcW w:w="10220" w:type="dxa"/>
            <w:vAlign w:val="bottom"/>
            <w:tcBorders>
              <w:right w:val="single" w:sz="8" w:color="CCEEFF"/>
            </w:tcBorders>
            <w:gridSpan w:val="19"/>
            <w:shd w:val="clear" w:color="auto" w:fill="CCEEFF"/>
          </w:tcPr>
          <w:p>
            <w:pPr>
              <w:spacing w:after="0" w:line="176" w:lineRule="exact"/>
              <w:rPr>
                <w:rFonts w:ascii="Times New Roman" w:cs="Times New Roman" w:eastAsia="Times New Roman" w:hAnsi="Times New Roman"/>
                <w:sz w:val="18"/>
                <w:szCs w:val="18"/>
                <w:color w:val="0000EE"/>
              </w:rPr>
            </w:pPr>
            <w:hyperlink r:id="rId77">
              <w:r>
                <w:rPr>
                  <w:rFonts w:ascii="Times New Roman" w:cs="Times New Roman" w:eastAsia="Times New Roman" w:hAnsi="Times New Roman"/>
                  <w:sz w:val="18"/>
                  <w:szCs w:val="18"/>
                  <w:color w:val="0000EE"/>
                </w:rPr>
                <w:t>Certification of Principal Executive Officer Pursuant to Rules 13a-14(a) and 15d-14(a) under the Securities Exchange Act of 1934, as</w:t>
              </w:r>
            </w:hyperlink>
          </w:p>
        </w:tc>
      </w:tr>
      <w:tr>
        <w:trPr>
          <w:trHeight w:val="20"/>
        </w:trPr>
        <w:tc>
          <w:tcPr>
            <w:tcW w:w="9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2920" w:type="dxa"/>
            <w:vAlign w:val="bottom"/>
            <w:gridSpan w:val="4"/>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980" w:type="dxa"/>
            <w:vAlign w:val="bottom"/>
            <w:tcBorders>
              <w:right w:val="single" w:sz="8" w:color="CCEEFF"/>
            </w:tcBorders>
            <w:gridSpan w:val="9"/>
            <w:shd w:val="clear" w:color="auto" w:fill="0000EE"/>
          </w:tcPr>
          <w:p>
            <w:pPr>
              <w:spacing w:after="0" w:line="20" w:lineRule="exact"/>
              <w:rPr>
                <w:sz w:val="1"/>
                <w:szCs w:val="1"/>
                <w:color w:val="auto"/>
              </w:rPr>
            </w:pPr>
          </w:p>
        </w:tc>
      </w:tr>
      <w:tr>
        <w:trPr>
          <w:trHeight w:val="196"/>
        </w:trPr>
        <w:tc>
          <w:tcPr>
            <w:tcW w:w="9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220" w:type="dxa"/>
            <w:vAlign w:val="bottom"/>
            <w:tcBorders>
              <w:bottom w:val="single" w:sz="8" w:color="0000EE"/>
              <w:right w:val="single" w:sz="8" w:color="CCEEFF"/>
            </w:tcBorders>
            <w:gridSpan w:val="19"/>
            <w:shd w:val="clear" w:color="auto" w:fill="CCEEFF"/>
          </w:tcPr>
          <w:p>
            <w:pPr>
              <w:spacing w:after="0" w:line="196" w:lineRule="exact"/>
              <w:rPr>
                <w:rFonts w:ascii="Times New Roman" w:cs="Times New Roman" w:eastAsia="Times New Roman" w:hAnsi="Times New Roman"/>
                <w:sz w:val="18"/>
                <w:szCs w:val="18"/>
                <w:color w:val="0000EE"/>
              </w:rPr>
            </w:pPr>
            <w:hyperlink r:id="rId77">
              <w:r>
                <w:rPr>
                  <w:rFonts w:ascii="Times New Roman" w:cs="Times New Roman" w:eastAsia="Times New Roman" w:hAnsi="Times New Roman"/>
                  <w:sz w:val="18"/>
                  <w:szCs w:val="18"/>
                  <w:color w:val="0000EE"/>
                </w:rPr>
                <w:t>Adopted Pursuant to Section 302 of the Sarbanes-Oxley Act of 2002 (filed as Exhibit 31.1 to the Registrant’s Annual Report on Form 10-K</w:t>
              </w:r>
            </w:hyperlink>
          </w:p>
        </w:tc>
      </w:tr>
      <w:tr>
        <w:trPr>
          <w:trHeight w:val="196"/>
        </w:trPr>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20" w:type="dxa"/>
            <w:vAlign w:val="bottom"/>
            <w:tcBorders>
              <w:right w:val="single" w:sz="8" w:color="CCEEFF"/>
            </w:tcBorders>
            <w:gridSpan w:val="19"/>
            <w:shd w:val="clear" w:color="auto" w:fill="CCEEFF"/>
          </w:tcPr>
          <w:p>
            <w:pPr>
              <w:spacing w:after="0" w:line="196" w:lineRule="exact"/>
              <w:rPr>
                <w:rFonts w:ascii="Times New Roman" w:cs="Times New Roman" w:eastAsia="Times New Roman" w:hAnsi="Times New Roman"/>
                <w:sz w:val="18"/>
                <w:szCs w:val="18"/>
                <w:color w:val="0000EE"/>
              </w:rPr>
            </w:pPr>
            <w:hyperlink r:id="rId77">
              <w:r>
                <w:rPr>
                  <w:rFonts w:ascii="Times New Roman" w:cs="Times New Roman" w:eastAsia="Times New Roman" w:hAnsi="Times New Roman"/>
                  <w:sz w:val="18"/>
                  <w:szCs w:val="18"/>
                  <w:color w:val="0000EE"/>
                </w:rPr>
                <w:t>filed with the Securities and Exchange Commission on March 24, 2026).</w:t>
              </w:r>
            </w:hyperlink>
          </w:p>
        </w:tc>
      </w:tr>
      <w:tr>
        <w:trPr>
          <w:trHeight w:val="21"/>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92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98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r>
      <w:tr>
        <w:trPr>
          <w:trHeight w:val="175"/>
        </w:trPr>
        <w:tc>
          <w:tcPr>
            <w:tcW w:w="9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15"/>
                <w:szCs w:val="15"/>
                <w:color w:val="auto"/>
              </w:rPr>
            </w:pPr>
          </w:p>
        </w:tc>
        <w:tc>
          <w:tcPr>
            <w:tcW w:w="10220" w:type="dxa"/>
            <w:vAlign w:val="bottom"/>
            <w:tcBorders>
              <w:bottom w:val="single" w:sz="8" w:color="0000EE"/>
            </w:tcBorders>
            <w:gridSpan w:val="19"/>
          </w:tcPr>
          <w:p>
            <w:pPr>
              <w:spacing w:after="0" w:line="176" w:lineRule="exact"/>
              <w:rPr>
                <w:rFonts w:ascii="Times New Roman" w:cs="Times New Roman" w:eastAsia="Times New Roman" w:hAnsi="Times New Roman"/>
                <w:sz w:val="18"/>
                <w:szCs w:val="18"/>
                <w:color w:val="0000EE"/>
              </w:rPr>
            </w:pPr>
            <w:hyperlink r:id="rId78">
              <w:r>
                <w:rPr>
                  <w:rFonts w:ascii="Times New Roman" w:cs="Times New Roman" w:eastAsia="Times New Roman" w:hAnsi="Times New Roman"/>
                  <w:sz w:val="18"/>
                  <w:szCs w:val="18"/>
                  <w:color w:val="0000EE"/>
                </w:rPr>
                <w:t>Certification of Principal Financial Officer Pursuant to Rules 13a-14(a) and 15d-14(a) under the Securities Exchange Act of 1934, as</w:t>
              </w:r>
            </w:hyperlink>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2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78">
              <w:r>
                <w:rPr>
                  <w:rFonts w:ascii="Times New Roman" w:cs="Times New Roman" w:eastAsia="Times New Roman" w:hAnsi="Times New Roman"/>
                  <w:sz w:val="18"/>
                  <w:szCs w:val="18"/>
                  <w:color w:val="0000EE"/>
                </w:rPr>
                <w:t>Adopted Pursuant to Section 302 of the Sarbanes-Oxley Act of 2002 (filed as Exhibit 31.2 to the Registrant’s Annual Report on Form 10-K</w:t>
              </w:r>
            </w:hyperlink>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20" w:type="dxa"/>
            <w:vAlign w:val="bottom"/>
            <w:gridSpan w:val="19"/>
          </w:tcPr>
          <w:p>
            <w:pPr>
              <w:spacing w:after="0" w:line="196" w:lineRule="exact"/>
              <w:rPr>
                <w:rFonts w:ascii="Times New Roman" w:cs="Times New Roman" w:eastAsia="Times New Roman" w:hAnsi="Times New Roman"/>
                <w:sz w:val="18"/>
                <w:szCs w:val="18"/>
                <w:color w:val="0000EE"/>
              </w:rPr>
            </w:pPr>
            <w:hyperlink r:id="rId78">
              <w:r>
                <w:rPr>
                  <w:rFonts w:ascii="Times New Roman" w:cs="Times New Roman" w:eastAsia="Times New Roman" w:hAnsi="Times New Roman"/>
                  <w:sz w:val="18"/>
                  <w:szCs w:val="18"/>
                  <w:color w:val="0000EE"/>
                </w:rPr>
                <w:t>filed with the Securities and Exchange Commission on March 24, 2026)</w:t>
              </w:r>
              <w:r>
                <w:rPr>
                  <w:rFonts w:ascii="Times New Roman" w:cs="Times New Roman" w:eastAsia="Times New Roman" w:hAnsi="Times New Roman"/>
                  <w:sz w:val="18"/>
                  <w:szCs w:val="18"/>
                  <w:color w:val="000000"/>
                </w:rPr>
                <w:t>.</w:t>
              </w:r>
            </w:hyperlink>
          </w:p>
        </w:tc>
      </w:tr>
      <w:tr>
        <w:trPr>
          <w:trHeight w:val="21"/>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75"/>
        </w:trPr>
        <w:tc>
          <w:tcPr>
            <w:tcW w:w="9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31.3</w:t>
            </w:r>
          </w:p>
        </w:tc>
        <w:tc>
          <w:tcPr>
            <w:tcW w:w="100" w:type="dxa"/>
            <w:vAlign w:val="bottom"/>
            <w:shd w:val="clear" w:color="auto" w:fill="CCEEFF"/>
          </w:tcPr>
          <w:p>
            <w:pPr>
              <w:spacing w:after="0"/>
              <w:rPr>
                <w:sz w:val="15"/>
                <w:szCs w:val="15"/>
                <w:color w:val="auto"/>
              </w:rPr>
            </w:pPr>
          </w:p>
        </w:tc>
        <w:tc>
          <w:tcPr>
            <w:tcW w:w="10220" w:type="dxa"/>
            <w:vAlign w:val="bottom"/>
            <w:tcBorders>
              <w:right w:val="single" w:sz="8" w:color="CCEEFF"/>
            </w:tcBorders>
            <w:gridSpan w:val="19"/>
            <w:shd w:val="clear" w:color="auto" w:fill="CCEEFF"/>
          </w:tcPr>
          <w:p>
            <w:pPr>
              <w:spacing w:after="0" w:line="176" w:lineRule="exact"/>
              <w:rPr>
                <w:rFonts w:ascii="Times New Roman" w:cs="Times New Roman" w:eastAsia="Times New Roman" w:hAnsi="Times New Roman"/>
                <w:sz w:val="18"/>
                <w:szCs w:val="18"/>
                <w:color w:val="0000EE"/>
              </w:rPr>
            </w:pPr>
            <w:hyperlink r:id="rId79">
              <w:r>
                <w:rPr>
                  <w:rFonts w:ascii="Times New Roman" w:cs="Times New Roman" w:eastAsia="Times New Roman" w:hAnsi="Times New Roman"/>
                  <w:sz w:val="18"/>
                  <w:szCs w:val="18"/>
                  <w:color w:val="0000EE"/>
                </w:rPr>
                <w:t>Certification of Principal Executive Officer Pursuant to Rules 13a-14(a) and 15d-14(a) under the Securities Exchange Act of 1934, as</w:t>
              </w:r>
            </w:hyperlink>
          </w:p>
        </w:tc>
      </w:tr>
      <w:tr>
        <w:trPr>
          <w:trHeight w:val="20"/>
        </w:trPr>
        <w:tc>
          <w:tcPr>
            <w:tcW w:w="9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2920" w:type="dxa"/>
            <w:vAlign w:val="bottom"/>
            <w:gridSpan w:val="4"/>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5240" w:type="dxa"/>
            <w:vAlign w:val="bottom"/>
            <w:tcBorders>
              <w:right w:val="single" w:sz="8" w:color="CCEEFF"/>
            </w:tcBorders>
            <w:gridSpan w:val="12"/>
            <w:shd w:val="clear" w:color="auto" w:fill="0000EE"/>
          </w:tcPr>
          <w:p>
            <w:pPr>
              <w:spacing w:after="0" w:line="20" w:lineRule="exact"/>
              <w:rPr>
                <w:sz w:val="1"/>
                <w:szCs w:val="1"/>
                <w:color w:val="auto"/>
              </w:rPr>
            </w:pPr>
          </w:p>
        </w:tc>
      </w:tr>
      <w:tr>
        <w:trPr>
          <w:trHeight w:val="196"/>
        </w:trPr>
        <w:tc>
          <w:tcPr>
            <w:tcW w:w="9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220" w:type="dxa"/>
            <w:vAlign w:val="bottom"/>
            <w:tcBorders>
              <w:bottom w:val="single" w:sz="8" w:color="0000EE"/>
              <w:right w:val="single" w:sz="8" w:color="CCEEFF"/>
            </w:tcBorders>
            <w:gridSpan w:val="19"/>
            <w:shd w:val="clear" w:color="auto" w:fill="CCEEFF"/>
          </w:tcPr>
          <w:p>
            <w:pPr>
              <w:spacing w:after="0" w:line="196" w:lineRule="exact"/>
              <w:rPr>
                <w:rFonts w:ascii="Times New Roman" w:cs="Times New Roman" w:eastAsia="Times New Roman" w:hAnsi="Times New Roman"/>
                <w:sz w:val="18"/>
                <w:szCs w:val="18"/>
                <w:color w:val="0000EE"/>
              </w:rPr>
            </w:pPr>
            <w:hyperlink r:id="rId79">
              <w:r>
                <w:rPr>
                  <w:rFonts w:ascii="Times New Roman" w:cs="Times New Roman" w:eastAsia="Times New Roman" w:hAnsi="Times New Roman"/>
                  <w:sz w:val="18"/>
                  <w:szCs w:val="18"/>
                  <w:color w:val="0000EE"/>
                </w:rPr>
                <w:t>Adopted Pursuant to Section 302 of the Sarbanes-Oxley Act of 2002 (filed as Exhibit 31.3 to the Registrant’s Form 10-K/A filed with the</w:t>
              </w:r>
            </w:hyperlink>
          </w:p>
        </w:tc>
      </w:tr>
      <w:tr>
        <w:trPr>
          <w:trHeight w:val="196"/>
        </w:trPr>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20" w:type="dxa"/>
            <w:vAlign w:val="bottom"/>
            <w:tcBorders>
              <w:right w:val="single" w:sz="8" w:color="CCEEFF"/>
            </w:tcBorders>
            <w:gridSpan w:val="19"/>
            <w:shd w:val="clear" w:color="auto" w:fill="CCEEFF"/>
          </w:tcPr>
          <w:p>
            <w:pPr>
              <w:spacing w:after="0" w:line="196" w:lineRule="exact"/>
              <w:rPr>
                <w:rFonts w:ascii="Times New Roman" w:cs="Times New Roman" w:eastAsia="Times New Roman" w:hAnsi="Times New Roman"/>
                <w:sz w:val="18"/>
                <w:szCs w:val="18"/>
                <w:color w:val="0000EE"/>
              </w:rPr>
            </w:pPr>
            <w:hyperlink r:id="rId79">
              <w:r>
                <w:rPr>
                  <w:rFonts w:ascii="Times New Roman" w:cs="Times New Roman" w:eastAsia="Times New Roman" w:hAnsi="Times New Roman"/>
                  <w:sz w:val="18"/>
                  <w:szCs w:val="18"/>
                  <w:color w:val="0000EE"/>
                </w:rPr>
                <w:t>Securities and Exchange Commission on April 28, 2026).</w:t>
              </w:r>
            </w:hyperlink>
          </w:p>
        </w:tc>
      </w:tr>
      <w:tr>
        <w:trPr>
          <w:trHeight w:val="20"/>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92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98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r>
      <w:tr>
        <w:trPr>
          <w:trHeight w:val="175"/>
        </w:trPr>
        <w:tc>
          <w:tcPr>
            <w:tcW w:w="9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31.4</w:t>
            </w:r>
          </w:p>
        </w:tc>
        <w:tc>
          <w:tcPr>
            <w:tcW w:w="100" w:type="dxa"/>
            <w:vAlign w:val="bottom"/>
          </w:tcPr>
          <w:p>
            <w:pPr>
              <w:spacing w:after="0"/>
              <w:rPr>
                <w:sz w:val="15"/>
                <w:szCs w:val="15"/>
                <w:color w:val="auto"/>
              </w:rPr>
            </w:pPr>
          </w:p>
        </w:tc>
        <w:tc>
          <w:tcPr>
            <w:tcW w:w="10220" w:type="dxa"/>
            <w:vAlign w:val="bottom"/>
            <w:tcBorders>
              <w:bottom w:val="single" w:sz="8" w:color="0000EE"/>
            </w:tcBorders>
            <w:gridSpan w:val="19"/>
          </w:tcPr>
          <w:p>
            <w:pPr>
              <w:spacing w:after="0" w:line="176" w:lineRule="exact"/>
              <w:rPr>
                <w:rFonts w:ascii="Times New Roman" w:cs="Times New Roman" w:eastAsia="Times New Roman" w:hAnsi="Times New Roman"/>
                <w:sz w:val="18"/>
                <w:szCs w:val="18"/>
                <w:color w:val="0000EE"/>
              </w:rPr>
            </w:pPr>
            <w:hyperlink r:id="rId80">
              <w:r>
                <w:rPr>
                  <w:rFonts w:ascii="Times New Roman" w:cs="Times New Roman" w:eastAsia="Times New Roman" w:hAnsi="Times New Roman"/>
                  <w:sz w:val="18"/>
                  <w:szCs w:val="18"/>
                  <w:color w:val="0000EE"/>
                </w:rPr>
                <w:t>Certification of Principal Financial Officer Pursuant to Rules 13a-14(a) and 15d-14(a) under the Securities Exchange Act of 1934, as</w:t>
              </w:r>
            </w:hyperlink>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2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80">
              <w:r>
                <w:rPr>
                  <w:rFonts w:ascii="Times New Roman" w:cs="Times New Roman" w:eastAsia="Times New Roman" w:hAnsi="Times New Roman"/>
                  <w:sz w:val="18"/>
                  <w:szCs w:val="18"/>
                  <w:color w:val="0000EE"/>
                </w:rPr>
                <w:t>Adopted Pursuant to Section 302 of the Sarbanes-Oxley Act of 2002 (filed as Exhibit 31.4 to the Registrant’s Form 10-K/A filed with the</w:t>
              </w:r>
            </w:hyperlink>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20" w:type="dxa"/>
            <w:vAlign w:val="bottom"/>
            <w:gridSpan w:val="19"/>
          </w:tcPr>
          <w:p>
            <w:pPr>
              <w:spacing w:after="0" w:line="196" w:lineRule="exact"/>
              <w:rPr>
                <w:rFonts w:ascii="Times New Roman" w:cs="Times New Roman" w:eastAsia="Times New Roman" w:hAnsi="Times New Roman"/>
                <w:sz w:val="18"/>
                <w:szCs w:val="18"/>
                <w:color w:val="0000EE"/>
              </w:rPr>
            </w:pPr>
            <w:hyperlink r:id="rId80">
              <w:r>
                <w:rPr>
                  <w:rFonts w:ascii="Times New Roman" w:cs="Times New Roman" w:eastAsia="Times New Roman" w:hAnsi="Times New Roman"/>
                  <w:sz w:val="18"/>
                  <w:szCs w:val="18"/>
                  <w:color w:val="0000EE"/>
                </w:rPr>
                <w:t>Securities and Exchange Commission on April 28, 2026).</w:t>
              </w:r>
            </w:hyperlink>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75"/>
        </w:trPr>
        <w:tc>
          <w:tcPr>
            <w:tcW w:w="9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31.5*</w:t>
            </w:r>
          </w:p>
        </w:tc>
        <w:tc>
          <w:tcPr>
            <w:tcW w:w="100" w:type="dxa"/>
            <w:vAlign w:val="bottom"/>
            <w:shd w:val="clear" w:color="auto" w:fill="CCEEFF"/>
          </w:tcPr>
          <w:p>
            <w:pPr>
              <w:spacing w:after="0"/>
              <w:rPr>
                <w:sz w:val="15"/>
                <w:szCs w:val="15"/>
                <w:color w:val="auto"/>
              </w:rPr>
            </w:pPr>
          </w:p>
        </w:tc>
        <w:tc>
          <w:tcPr>
            <w:tcW w:w="10220" w:type="dxa"/>
            <w:vAlign w:val="bottom"/>
            <w:tcBorders>
              <w:right w:val="single" w:sz="8" w:color="CCEEFF"/>
            </w:tcBorders>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Principal Executive Officer Pursuant to Rules 13a-14(a) and 15d-14(a) under the Securities Exchange Act of 1934, as</w:t>
            </w:r>
          </w:p>
        </w:tc>
      </w:tr>
      <w:tr>
        <w:trPr>
          <w:trHeight w:val="196"/>
        </w:trPr>
        <w:tc>
          <w:tcPr>
            <w:tcW w:w="9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220" w:type="dxa"/>
            <w:vAlign w:val="bottom"/>
            <w:tcBorders>
              <w:top w:val="single" w:sz="8" w:color="0000EE"/>
              <w:right w:val="single" w:sz="8" w:color="CCEEFF"/>
            </w:tcBorders>
            <w:gridSpan w:val="19"/>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Adopted Pursuant to Section 302 of the Sarbanes-Oxley Act of 2002.</w:t>
            </w:r>
          </w:p>
        </w:tc>
      </w:tr>
      <w:tr>
        <w:trPr>
          <w:trHeight w:val="21"/>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92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98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r>
      <w:tr>
        <w:trPr>
          <w:trHeight w:val="175"/>
        </w:trPr>
        <w:tc>
          <w:tcPr>
            <w:tcW w:w="9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31.6*</w:t>
            </w:r>
          </w:p>
        </w:tc>
        <w:tc>
          <w:tcPr>
            <w:tcW w:w="100" w:type="dxa"/>
            <w:vAlign w:val="bottom"/>
          </w:tcPr>
          <w:p>
            <w:pPr>
              <w:spacing w:after="0"/>
              <w:rPr>
                <w:sz w:val="15"/>
                <w:szCs w:val="15"/>
                <w:color w:val="auto"/>
              </w:rPr>
            </w:pPr>
          </w:p>
        </w:tc>
        <w:tc>
          <w:tcPr>
            <w:tcW w:w="10220" w:type="dxa"/>
            <w:vAlign w:val="bottom"/>
            <w:tcBorders>
              <w:bottom w:val="single" w:sz="8" w:color="0000EE"/>
            </w:tcBorders>
            <w:gridSpan w:val="19"/>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Principal Financial Officer Pursuant to Rules 13a-14(a) and 15d-14(a) under the Securities Exchange Act of 1934, as</w:t>
            </w: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Adopted Pursuant to Section 302 of the Sarbanes-Oxley Act of 2002.</w:t>
            </w: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75"/>
        </w:trPr>
        <w:tc>
          <w:tcPr>
            <w:tcW w:w="9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32.1</w:t>
            </w:r>
          </w:p>
        </w:tc>
        <w:tc>
          <w:tcPr>
            <w:tcW w:w="100" w:type="dxa"/>
            <w:vAlign w:val="bottom"/>
            <w:shd w:val="clear" w:color="auto" w:fill="CCEEFF"/>
          </w:tcPr>
          <w:p>
            <w:pPr>
              <w:spacing w:after="0"/>
              <w:rPr>
                <w:sz w:val="15"/>
                <w:szCs w:val="15"/>
                <w:color w:val="auto"/>
              </w:rPr>
            </w:pPr>
          </w:p>
        </w:tc>
        <w:tc>
          <w:tcPr>
            <w:tcW w:w="10220" w:type="dxa"/>
            <w:vAlign w:val="bottom"/>
            <w:tcBorders>
              <w:right w:val="single" w:sz="8" w:color="CCEEFF"/>
            </w:tcBorders>
            <w:gridSpan w:val="19"/>
            <w:shd w:val="clear" w:color="auto" w:fill="CCEEFF"/>
          </w:tcPr>
          <w:p>
            <w:pPr>
              <w:spacing w:after="0" w:line="176" w:lineRule="exact"/>
              <w:rPr>
                <w:rFonts w:ascii="Times New Roman" w:cs="Times New Roman" w:eastAsia="Times New Roman" w:hAnsi="Times New Roman"/>
                <w:sz w:val="18"/>
                <w:szCs w:val="18"/>
                <w:color w:val="0000EE"/>
              </w:rPr>
            </w:pPr>
            <w:hyperlink r:id="rId81">
              <w:r>
                <w:rPr>
                  <w:rFonts w:ascii="Times New Roman" w:cs="Times New Roman" w:eastAsia="Times New Roman" w:hAnsi="Times New Roman"/>
                  <w:sz w:val="18"/>
                  <w:szCs w:val="18"/>
                  <w:color w:val="0000EE"/>
                </w:rPr>
                <w:t>Certification of Principal Executive Officer Pursuant to 18 U.S.C. Section 1350, as Adopted Pursuant to Section 906 of the Sarbanes-Oxley</w:t>
              </w:r>
            </w:hyperlink>
          </w:p>
        </w:tc>
      </w:tr>
      <w:tr>
        <w:trPr>
          <w:trHeight w:val="20"/>
        </w:trPr>
        <w:tc>
          <w:tcPr>
            <w:tcW w:w="9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8980" w:type="dxa"/>
            <w:vAlign w:val="bottom"/>
            <w:tcBorders>
              <w:right w:val="single" w:sz="8" w:color="CCEEFF"/>
            </w:tcBorders>
            <w:gridSpan w:val="17"/>
            <w:shd w:val="clear" w:color="auto" w:fill="0000EE"/>
          </w:tcPr>
          <w:p>
            <w:pPr>
              <w:spacing w:after="0" w:line="20" w:lineRule="exact"/>
              <w:rPr>
                <w:sz w:val="1"/>
                <w:szCs w:val="1"/>
                <w:color w:val="auto"/>
              </w:rPr>
            </w:pPr>
          </w:p>
        </w:tc>
      </w:tr>
      <w:tr>
        <w:trPr>
          <w:trHeight w:val="196"/>
        </w:trPr>
        <w:tc>
          <w:tcPr>
            <w:tcW w:w="9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220" w:type="dxa"/>
            <w:vAlign w:val="bottom"/>
            <w:tcBorders>
              <w:bottom w:val="single" w:sz="8" w:color="0000EE"/>
              <w:right w:val="single" w:sz="8" w:color="CCEEFF"/>
            </w:tcBorders>
            <w:gridSpan w:val="19"/>
            <w:shd w:val="clear" w:color="auto" w:fill="CCEEFF"/>
          </w:tcPr>
          <w:p>
            <w:pPr>
              <w:spacing w:after="0" w:line="196" w:lineRule="exact"/>
              <w:rPr>
                <w:rFonts w:ascii="Times New Roman" w:cs="Times New Roman" w:eastAsia="Times New Roman" w:hAnsi="Times New Roman"/>
                <w:sz w:val="18"/>
                <w:szCs w:val="18"/>
                <w:color w:val="0000EE"/>
              </w:rPr>
            </w:pPr>
            <w:hyperlink r:id="rId81">
              <w:r>
                <w:rPr>
                  <w:rFonts w:ascii="Times New Roman" w:cs="Times New Roman" w:eastAsia="Times New Roman" w:hAnsi="Times New Roman"/>
                  <w:sz w:val="18"/>
                  <w:szCs w:val="18"/>
                  <w:color w:val="0000EE"/>
                </w:rPr>
                <w:t>Act of 2002 (filed as Exhibit 32.1 to the Registrant’s Annual Report on Form 10-K filed with the Securities and Exchange Commission on</w:t>
              </w:r>
            </w:hyperlink>
          </w:p>
        </w:tc>
      </w:tr>
      <w:tr>
        <w:trPr>
          <w:trHeight w:val="196"/>
        </w:trPr>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20" w:type="dxa"/>
            <w:vAlign w:val="bottom"/>
            <w:tcBorders>
              <w:right w:val="single" w:sz="8" w:color="CCEEFF"/>
            </w:tcBorders>
            <w:gridSpan w:val="19"/>
            <w:shd w:val="clear" w:color="auto" w:fill="CCEEFF"/>
          </w:tcPr>
          <w:p>
            <w:pPr>
              <w:spacing w:after="0" w:line="196" w:lineRule="exact"/>
              <w:rPr>
                <w:rFonts w:ascii="Times New Roman" w:cs="Times New Roman" w:eastAsia="Times New Roman" w:hAnsi="Times New Roman"/>
                <w:sz w:val="18"/>
                <w:szCs w:val="18"/>
                <w:color w:val="0000EE"/>
              </w:rPr>
            </w:pPr>
            <w:hyperlink r:id="rId81">
              <w:r>
                <w:rPr>
                  <w:rFonts w:ascii="Times New Roman" w:cs="Times New Roman" w:eastAsia="Times New Roman" w:hAnsi="Times New Roman"/>
                  <w:sz w:val="18"/>
                  <w:szCs w:val="18"/>
                  <w:color w:val="0000EE"/>
                </w:rPr>
                <w:t>March 24, 2026).</w:t>
              </w:r>
            </w:hyperlink>
          </w:p>
        </w:tc>
      </w:tr>
      <w:tr>
        <w:trPr>
          <w:trHeight w:val="20"/>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r>
      <w:tr>
        <w:trPr>
          <w:trHeight w:val="176"/>
        </w:trPr>
        <w:tc>
          <w:tcPr>
            <w:tcW w:w="9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15"/>
                <w:szCs w:val="15"/>
                <w:color w:val="auto"/>
              </w:rPr>
            </w:pPr>
          </w:p>
        </w:tc>
        <w:tc>
          <w:tcPr>
            <w:tcW w:w="10220" w:type="dxa"/>
            <w:vAlign w:val="bottom"/>
            <w:tcBorders>
              <w:bottom w:val="single" w:sz="8" w:color="0000EE"/>
            </w:tcBorders>
            <w:gridSpan w:val="19"/>
          </w:tcPr>
          <w:p>
            <w:pPr>
              <w:spacing w:after="0" w:line="176" w:lineRule="exact"/>
              <w:rPr>
                <w:rFonts w:ascii="Times New Roman" w:cs="Times New Roman" w:eastAsia="Times New Roman" w:hAnsi="Times New Roman"/>
                <w:sz w:val="18"/>
                <w:szCs w:val="18"/>
                <w:color w:val="0000EE"/>
              </w:rPr>
            </w:pPr>
            <w:hyperlink r:id="rId82">
              <w:r>
                <w:rPr>
                  <w:rFonts w:ascii="Times New Roman" w:cs="Times New Roman" w:eastAsia="Times New Roman" w:hAnsi="Times New Roman"/>
                  <w:sz w:val="18"/>
                  <w:szCs w:val="18"/>
                  <w:color w:val="0000EE"/>
                </w:rPr>
                <w:t>Certification of Principal Financial Officer Pursuant to 18 U.S.C. Section 1350, as Adopted Pursuant to Section 906 of the Sarbanes-Oxley</w:t>
              </w:r>
            </w:hyperlink>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2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82">
              <w:r>
                <w:rPr>
                  <w:rFonts w:ascii="Times New Roman" w:cs="Times New Roman" w:eastAsia="Times New Roman" w:hAnsi="Times New Roman"/>
                  <w:sz w:val="18"/>
                  <w:szCs w:val="18"/>
                  <w:color w:val="0000EE"/>
                </w:rPr>
                <w:t>Act of 2002 (filed as Exhibit 32.2 to the Registrant’s Annual Report on Form 10-K filed with the Securities and Exchange Commission on</w:t>
              </w:r>
            </w:hyperlink>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20" w:type="dxa"/>
            <w:vAlign w:val="bottom"/>
            <w:gridSpan w:val="19"/>
          </w:tcPr>
          <w:p>
            <w:pPr>
              <w:spacing w:after="0" w:line="196" w:lineRule="exact"/>
              <w:rPr>
                <w:rFonts w:ascii="Times New Roman" w:cs="Times New Roman" w:eastAsia="Times New Roman" w:hAnsi="Times New Roman"/>
                <w:sz w:val="18"/>
                <w:szCs w:val="18"/>
                <w:color w:val="0000EE"/>
              </w:rPr>
            </w:pPr>
            <w:hyperlink r:id="rId82">
              <w:r>
                <w:rPr>
                  <w:rFonts w:ascii="Times New Roman" w:cs="Times New Roman" w:eastAsia="Times New Roman" w:hAnsi="Times New Roman"/>
                  <w:sz w:val="18"/>
                  <w:szCs w:val="18"/>
                  <w:color w:val="0000EE"/>
                </w:rPr>
                <w:t>March 24, 2026).</w:t>
              </w:r>
            </w:hyperlink>
          </w:p>
        </w:tc>
      </w:tr>
      <w:tr>
        <w:trPr>
          <w:trHeight w:val="21"/>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75"/>
        </w:trPr>
        <w:tc>
          <w:tcPr>
            <w:tcW w:w="9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97.1</w:t>
            </w:r>
          </w:p>
        </w:tc>
        <w:tc>
          <w:tcPr>
            <w:tcW w:w="100" w:type="dxa"/>
            <w:vAlign w:val="bottom"/>
            <w:shd w:val="clear" w:color="auto" w:fill="CCEEFF"/>
          </w:tcPr>
          <w:p>
            <w:pPr>
              <w:spacing w:after="0"/>
              <w:rPr>
                <w:sz w:val="15"/>
                <w:szCs w:val="15"/>
                <w:color w:val="auto"/>
              </w:rPr>
            </w:pPr>
          </w:p>
        </w:tc>
        <w:tc>
          <w:tcPr>
            <w:tcW w:w="10220" w:type="dxa"/>
            <w:vAlign w:val="bottom"/>
            <w:tcBorders>
              <w:right w:val="single" w:sz="8" w:color="CCEEFF"/>
            </w:tcBorders>
            <w:gridSpan w:val="19"/>
            <w:shd w:val="clear" w:color="auto" w:fill="CCEEFF"/>
          </w:tcPr>
          <w:p>
            <w:pPr>
              <w:spacing w:after="0" w:line="176" w:lineRule="exact"/>
              <w:rPr>
                <w:rFonts w:ascii="Times New Roman" w:cs="Times New Roman" w:eastAsia="Times New Roman" w:hAnsi="Times New Roman"/>
                <w:sz w:val="18"/>
                <w:szCs w:val="18"/>
                <w:color w:val="0000EE"/>
              </w:rPr>
            </w:pPr>
            <w:hyperlink r:id="rId83">
              <w:r>
                <w:rPr>
                  <w:rFonts w:ascii="Times New Roman" w:cs="Times New Roman" w:eastAsia="Times New Roman" w:hAnsi="Times New Roman"/>
                  <w:sz w:val="18"/>
                  <w:szCs w:val="18"/>
                  <w:color w:val="0000EE"/>
                </w:rPr>
                <w:t>FTC Solar, Inc. Clawback Policy (filed as Exhibit 97.1 to the Registrant’s Annual Report on Form 10-K filed with the Securities and</w:t>
              </w:r>
            </w:hyperlink>
          </w:p>
        </w:tc>
      </w:tr>
      <w:tr>
        <w:trPr>
          <w:trHeight w:val="196"/>
        </w:trPr>
        <w:tc>
          <w:tcPr>
            <w:tcW w:w="9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220" w:type="dxa"/>
            <w:vAlign w:val="bottom"/>
            <w:tcBorders>
              <w:top w:val="single" w:sz="8" w:color="0000EE"/>
              <w:right w:val="single" w:sz="8" w:color="CCEEFF"/>
            </w:tcBorders>
            <w:gridSpan w:val="19"/>
            <w:shd w:val="clear" w:color="auto" w:fill="CCEEFF"/>
          </w:tcPr>
          <w:p>
            <w:pPr>
              <w:spacing w:after="0" w:line="196" w:lineRule="exact"/>
              <w:rPr>
                <w:rFonts w:ascii="Times New Roman" w:cs="Times New Roman" w:eastAsia="Times New Roman" w:hAnsi="Times New Roman"/>
                <w:sz w:val="18"/>
                <w:szCs w:val="18"/>
                <w:color w:val="0000EE"/>
              </w:rPr>
            </w:pPr>
            <w:hyperlink r:id="rId83">
              <w:r>
                <w:rPr>
                  <w:rFonts w:ascii="Times New Roman" w:cs="Times New Roman" w:eastAsia="Times New Roman" w:hAnsi="Times New Roman"/>
                  <w:sz w:val="18"/>
                  <w:szCs w:val="18"/>
                  <w:color w:val="0000EE"/>
                </w:rPr>
                <w:t>Exchange Commission on March 15, 2024 and incorporated herein by reference)</w:t>
              </w:r>
            </w:hyperlink>
          </w:p>
        </w:tc>
      </w:tr>
      <w:tr>
        <w:trPr>
          <w:trHeight w:val="20"/>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92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98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r>
      <w:tr>
        <w:trPr>
          <w:trHeight w:val="198"/>
        </w:trPr>
        <w:tc>
          <w:tcPr>
            <w:tcW w:w="9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7"/>
              </w:rPr>
              <w:t>101.INS*</w:t>
            </w:r>
          </w:p>
        </w:tc>
        <w:tc>
          <w:tcPr>
            <w:tcW w:w="100" w:type="dxa"/>
            <w:vAlign w:val="bottom"/>
          </w:tcPr>
          <w:p>
            <w:pPr>
              <w:spacing w:after="0"/>
              <w:rPr>
                <w:sz w:val="17"/>
                <w:szCs w:val="17"/>
                <w:color w:val="auto"/>
              </w:rPr>
            </w:pPr>
          </w:p>
        </w:tc>
        <w:tc>
          <w:tcPr>
            <w:tcW w:w="10220" w:type="dxa"/>
            <w:vAlign w:val="bottom"/>
            <w:gridSpan w:val="19"/>
          </w:tcPr>
          <w:p>
            <w:pPr>
              <w:spacing w:after="0" w:line="198" w:lineRule="exact"/>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XBRL tags are embedded</w:t>
            </w:r>
          </w:p>
        </w:tc>
      </w:tr>
      <w:tr>
        <w:trPr>
          <w:trHeight w:val="234"/>
        </w:trPr>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2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216"/>
        </w:trPr>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101.SCH*</w:t>
            </w:r>
          </w:p>
        </w:tc>
        <w:tc>
          <w:tcPr>
            <w:tcW w:w="100" w:type="dxa"/>
            <w:vAlign w:val="bottom"/>
            <w:shd w:val="clear" w:color="auto" w:fill="CCEEFF"/>
          </w:tcPr>
          <w:p>
            <w:pPr>
              <w:spacing w:after="0"/>
              <w:rPr>
                <w:sz w:val="18"/>
                <w:szCs w:val="18"/>
                <w:color w:val="auto"/>
              </w:rPr>
            </w:pPr>
          </w:p>
        </w:tc>
        <w:tc>
          <w:tcPr>
            <w:tcW w:w="10220" w:type="dxa"/>
            <w:vAlign w:val="bottom"/>
            <w:tcBorders>
              <w:right w:val="single" w:sz="8" w:color="CCEEFF"/>
            </w:tcBorders>
            <w:gridSpan w:val="19"/>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r>
      <w:tr>
        <w:trPr>
          <w:trHeight w:val="234"/>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104*</w:t>
            </w:r>
          </w:p>
        </w:tc>
        <w:tc>
          <w:tcPr>
            <w:tcW w:w="100" w:type="dxa"/>
            <w:vAlign w:val="bottom"/>
          </w:tcPr>
          <w:p>
            <w:pPr>
              <w:spacing w:after="0"/>
              <w:rPr>
                <w:sz w:val="20"/>
                <w:szCs w:val="20"/>
                <w:color w:val="auto"/>
              </w:rPr>
            </w:pPr>
          </w:p>
        </w:tc>
        <w:tc>
          <w:tcPr>
            <w:tcW w:w="1022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179" w:lineRule="exact"/>
        <w:rPr>
          <w:sz w:val="20"/>
          <w:szCs w:val="20"/>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25"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Management contract or compensatory plan or arrangement</w:t>
      </w:r>
    </w:p>
    <w:p>
      <w:pPr>
        <w:spacing w:after="0" w:line="225" w:lineRule="exact"/>
        <w:rPr>
          <w:sz w:val="20"/>
          <w:szCs w:val="20"/>
          <w:color w:val="auto"/>
        </w:rPr>
      </w:pPr>
    </w:p>
    <w:p>
      <w:pPr>
        <w:ind w:left="340" w:hanging="332"/>
        <w:spacing w:after="0" w:line="282"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of the schedules to this exhibit have been omitted in accordance with Regulation S-K Item 601(b)(10). The Company hereby undertakes to furnish supplementally a copy of all omitted schedules to the SEC upon its request.</w:t>
      </w:r>
    </w:p>
    <w:p>
      <w:pPr>
        <w:spacing w:after="0" w:line="162" w:lineRule="exact"/>
        <w:rPr>
          <w:sz w:val="20"/>
          <w:szCs w:val="20"/>
          <w:color w:val="auto"/>
        </w:rPr>
      </w:pPr>
    </w:p>
    <w:p>
      <w:pPr>
        <w:ind w:left="5580" w:right="4080" w:hanging="5572"/>
        <w:spacing w:after="0" w:line="783" w:lineRule="auto"/>
        <w:tabs>
          <w:tab w:leader="none" w:pos="33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exhibit are redacted in accordance with Item 601(b)(10)(iv) of Regulation S-K.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87" w:gutter="0" w:footer="0" w:header="0"/>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Report to be signed on its behalf by the undersigned, thereunto duly authorized on this 15th day of June,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FTC Solar,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Cathy Behnen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264033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85">
                      <a:extLst>
                        <a:ext uri="{28A0092B-C50C-407E-A947-70E740481C1C}"/>
                      </a:extLst>
                    </a:blip>
                    <a:srcRect/>
                    <a:stretch>
                      <a:fillRect/>
                    </a:stretch>
                  </pic:blipFill>
                  <pic:spPr bwMode="auto">
                    <a:xfrm>
                      <a:off x="0" y="0"/>
                      <a:ext cx="2640330" cy="17145"/>
                    </a:xfrm>
                    <a:prstGeom prst="rect">
                      <a:avLst/>
                    </a:prstGeom>
                    <a:noFill/>
                  </pic:spPr>
                </pic:pic>
              </a:graphicData>
            </a:graphic>
          </wp:anchor>
        </w:drawing>
      </w:r>
    </w:p>
    <w:p>
      <w:pPr>
        <w:spacing w:after="0" w:line="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Cathy Behnen</w:t>
      </w:r>
    </w:p>
    <w:p>
      <w:pPr>
        <w:spacing w:after="0" w:line="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(Principal Financial Officer and Accounting Officer)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1" w:name="page12"/>
    <w:bookmarkEnd w:id="11"/>
    <w:p>
      <w:pPr>
        <w:jc w:val="right"/>
        <w:spacing w:after="0"/>
        <w:rPr>
          <w:sz w:val="20"/>
          <w:szCs w:val="20"/>
          <w:color w:val="auto"/>
        </w:rPr>
      </w:pPr>
      <w:r>
        <w:rPr>
          <w:rFonts w:ascii="Times New Roman" w:cs="Times New Roman" w:eastAsia="Times New Roman" w:hAnsi="Times New Roman"/>
          <w:sz w:val="22"/>
          <w:szCs w:val="22"/>
          <w:b w:val="1"/>
          <w:bCs w:val="1"/>
          <w:color w:val="auto"/>
        </w:rPr>
        <w:t>Exhibit 31.5</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Anthony Carroll, certify that:</w:t>
      </w:r>
    </w:p>
    <w:p>
      <w:pPr>
        <w:spacing w:after="0" w:line="225" w:lineRule="exact"/>
        <w:rPr>
          <w:sz w:val="20"/>
          <w:szCs w:val="20"/>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Amendment No. 2 to the Annual Report on Form 10-K of FTC Solar, Inc.; and</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sz w:val="20"/>
          <w:szCs w:val="20"/>
          <w:color w:val="auto"/>
        </w:rPr>
      </w:pPr>
    </w:p>
    <w:p>
      <w:pPr>
        <w:spacing w:after="0"/>
        <w:tabs>
          <w:tab w:leader="none" w:pos="6740" w:val="left"/>
          <w:tab w:leader="none" w:pos="7180" w:val="left"/>
        </w:tabs>
        <w:rPr>
          <w:sz w:val="20"/>
          <w:szCs w:val="20"/>
          <w:color w:val="auto"/>
        </w:rPr>
      </w:pPr>
      <w:r>
        <w:rPr>
          <w:rFonts w:ascii="Times New Roman" w:cs="Times New Roman" w:eastAsia="Times New Roman" w:hAnsi="Times New Roman"/>
          <w:sz w:val="18"/>
          <w:szCs w:val="18"/>
          <w:color w:val="auto"/>
        </w:rPr>
        <w:t>Date: June 15,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Anthony Carroll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87">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21"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b w:val="1"/>
          <w:bCs w:val="1"/>
          <w:color w:val="auto"/>
        </w:rPr>
        <w:t>Anthony Carroll</w:t>
      </w:r>
    </w:p>
    <w:p>
      <w:pPr>
        <w:spacing w:after="0" w:line="23"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ectPr>
          <w:pgSz w:w="11900" w:h="16838" w:orient="portrait"/>
          <w:cols w:equalWidth="0" w:num="1">
            <w:col w:w="11240"/>
          </w:cols>
          <w:pgMar w:left="320" w:top="108" w:right="339" w:bottom="1440" w:gutter="0" w:footer="0" w:header="0"/>
        </w:sectPr>
      </w:pPr>
    </w:p>
    <w:bookmarkStart w:id="12" w:name="page13"/>
    <w:bookmarkEnd w:id="12"/>
    <w:p>
      <w:pPr>
        <w:jc w:val="right"/>
        <w:spacing w:after="0"/>
        <w:rPr>
          <w:sz w:val="20"/>
          <w:szCs w:val="20"/>
          <w:color w:val="auto"/>
        </w:rPr>
      </w:pPr>
      <w:r>
        <w:rPr>
          <w:rFonts w:ascii="Times New Roman" w:cs="Times New Roman" w:eastAsia="Times New Roman" w:hAnsi="Times New Roman"/>
          <w:sz w:val="22"/>
          <w:szCs w:val="22"/>
          <w:b w:val="1"/>
          <w:bCs w:val="1"/>
          <w:color w:val="auto"/>
        </w:rPr>
        <w:t>Exhibit 31.6</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Cathy Behnen, certify that:</w:t>
      </w:r>
    </w:p>
    <w:p>
      <w:pPr>
        <w:spacing w:after="0" w:line="225" w:lineRule="exact"/>
        <w:rPr>
          <w:sz w:val="20"/>
          <w:szCs w:val="20"/>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Amendment No. 2 to the Annual Report on Form 10-K of FTC Solar, Inc.; and</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sz w:val="20"/>
          <w:szCs w:val="20"/>
          <w:color w:val="auto"/>
        </w:rPr>
      </w:pPr>
    </w:p>
    <w:p>
      <w:pPr>
        <w:spacing w:after="0"/>
        <w:tabs>
          <w:tab w:leader="none" w:pos="6740" w:val="left"/>
          <w:tab w:leader="none" w:pos="7180" w:val="left"/>
        </w:tabs>
        <w:rPr>
          <w:sz w:val="20"/>
          <w:szCs w:val="20"/>
          <w:color w:val="auto"/>
        </w:rPr>
      </w:pPr>
      <w:r>
        <w:rPr>
          <w:rFonts w:ascii="Times New Roman" w:cs="Times New Roman" w:eastAsia="Times New Roman" w:hAnsi="Times New Roman"/>
          <w:sz w:val="18"/>
          <w:szCs w:val="18"/>
          <w:color w:val="auto"/>
        </w:rPr>
        <w:t>Date: June 15,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Cathy Behnen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88">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21"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b w:val="1"/>
          <w:bCs w:val="1"/>
          <w:color w:val="auto"/>
        </w:rPr>
        <w:t>Cathy Behnen</w:t>
      </w:r>
    </w:p>
    <w:p>
      <w:pPr>
        <w:spacing w:after="0" w:line="23"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b w:val="1"/>
          <w:bCs w:val="1"/>
          <w:color w:val="auto"/>
        </w:rPr>
        <w:t>Chief Financial Officer</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1)"/>
      <w:numFmt w:val="decimal"/>
      <w:start w:val="2"/>
    </w:lvl>
  </w:abstractNum>
  <w:abstractNum w:abstractNumId="4">
    <w:nsid w:val="7545E146"/>
    <w:multiLevelType w:val="hybridMultilevel"/>
    <w:lvl w:ilvl="0">
      <w:lvlJc w:val="left"/>
      <w:lvlText w:val="(%1)"/>
      <w:numFmt w:val="decimal"/>
      <w:start w:val="4"/>
    </w:lvl>
  </w:abstractNum>
  <w:abstractNum w:abstractNumId="5">
    <w:nsid w:val="515F007C"/>
    <w:multiLevelType w:val="hybridMultilevel"/>
    <w:lvl w:ilvl="0">
      <w:lvlJc w:val="left"/>
      <w:lvlText w:val="(%1)"/>
      <w:numFmt w:val="lowerLetter"/>
      <w:start w:val="1"/>
    </w:lvl>
    <w:lvl w:ilvl="1">
      <w:lvlJc w:val="left"/>
      <w:lvlText w:val="(%2)"/>
      <w:numFmt w:val="decimal"/>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9" Type="http://schemas.openxmlformats.org/officeDocument/2006/relationships/image" Target="media/image20.png"/><Relationship Id="rId32" Type="http://schemas.openxmlformats.org/officeDocument/2006/relationships/image" Target="media/image21.png"/><Relationship Id="rId35" Type="http://schemas.openxmlformats.org/officeDocument/2006/relationships/image" Target="media/image22.png"/><Relationship Id="rId38" Type="http://schemas.openxmlformats.org/officeDocument/2006/relationships/image" Target="media/image23.png"/><Relationship Id="rId41" Type="http://schemas.openxmlformats.org/officeDocument/2006/relationships/image" Target="media/image24.png"/><Relationship Id="rId44" Type="http://schemas.openxmlformats.org/officeDocument/2006/relationships/image" Target="media/image25.png"/><Relationship Id="rId47" Type="http://schemas.openxmlformats.org/officeDocument/2006/relationships/image" Target="media/image26.png"/><Relationship Id="rId50" Type="http://schemas.openxmlformats.org/officeDocument/2006/relationships/image" Target="media/image27.png"/><Relationship Id="rId53" Type="http://schemas.openxmlformats.org/officeDocument/2006/relationships/image" Target="media/image28.png"/><Relationship Id="rId56" Type="http://schemas.openxmlformats.org/officeDocument/2006/relationships/image" Target="media/image29.png"/><Relationship Id="rId59" Type="http://schemas.openxmlformats.org/officeDocument/2006/relationships/image" Target="media/image30.png"/><Relationship Id="rId62" Type="http://schemas.openxmlformats.org/officeDocument/2006/relationships/image" Target="media/image31.png"/><Relationship Id="rId84" Type="http://schemas.openxmlformats.org/officeDocument/2006/relationships/image" Target="media/image32.png"/><Relationship Id="rId85" Type="http://schemas.openxmlformats.org/officeDocument/2006/relationships/image" Target="media/image33.png"/><Relationship Id="rId86" Type="http://schemas.openxmlformats.org/officeDocument/2006/relationships/image" Target="media/image34.png"/><Relationship Id="rId87" Type="http://schemas.openxmlformats.org/officeDocument/2006/relationships/image" Target="media/image35.png"/><Relationship Id="rId88" Type="http://schemas.openxmlformats.org/officeDocument/2006/relationships/image" Target="media/image36.png"/><Relationship Id="rId27" Type="http://schemas.openxmlformats.org/officeDocument/2006/relationships/hyperlink" Target="https://www.sec.gov/Archives/edgar/data/0001828161/000114036121015526/nt10018987x16_ex3-1.htm" TargetMode="External"/><Relationship Id="rId28" Type="http://schemas.openxmlformats.org/officeDocument/2006/relationships/hyperlink" Target="https://www.sec.gov/Archives/edgar/data/1828161/000095017021000325/ftci-20210331ex3_3.htm" TargetMode="External"/><Relationship Id="rId30" Type="http://schemas.openxmlformats.org/officeDocument/2006/relationships/hyperlink" Target="https://www.sec.gov/Archives/edgar/data/1828161/000095017024131275/ftci-ex3_1.htm" TargetMode="External"/><Relationship Id="rId31" Type="http://schemas.openxmlformats.org/officeDocument/2006/relationships/hyperlink" Target="https://www.sec.gov/Archives/edgar/data/0001828161/000114036121015526/nt10018987x16_ex3-2.htm" TargetMode="External"/><Relationship Id="rId33" Type="http://schemas.openxmlformats.org/officeDocument/2006/relationships/hyperlink" Target="https://www.sec.gov/Archives/edgar/data/1828161/000114036121013207/nt10018987x7_ex4-1.htm" TargetMode="External"/><Relationship Id="rId34" Type="http://schemas.openxmlformats.org/officeDocument/2006/relationships/hyperlink" Target="https://www.sec.gov/Archives/edgar/data/1828161/000095017022004184/ftci-ex4_2.htm" TargetMode="External"/><Relationship Id="rId36" Type="http://schemas.openxmlformats.org/officeDocument/2006/relationships/hyperlink" Target="http://www.sec.gov/Archives/edgar/data/1828161/000119312525155869/d96355dex41.htm" TargetMode="External"/><Relationship Id="rId37" Type="http://schemas.openxmlformats.org/officeDocument/2006/relationships/hyperlink" Target="http://www.sec.gov/Archives/edgar/data/1828161/000119312525155869/d96355dex42.htm" TargetMode="External"/><Relationship Id="rId39" Type="http://schemas.openxmlformats.org/officeDocument/2006/relationships/hyperlink" Target="http://www.sec.gov/Archives/edgar/data/1828161/000119312525155869/d96355dex43.htm" TargetMode="External"/><Relationship Id="rId40" Type="http://schemas.openxmlformats.org/officeDocument/2006/relationships/hyperlink" Target="http://www.sec.gov/Archives/edgar/data/1828161/000119312525155869/d96355dex101.htm" TargetMode="External"/><Relationship Id="rId42" Type="http://schemas.openxmlformats.org/officeDocument/2006/relationships/hyperlink" Target="http://www.sec.gov/Archives/edgar/data/1828161/000119312525276228/ftci-ex10_2.htm" TargetMode="External"/><Relationship Id="rId43" Type="http://schemas.openxmlformats.org/officeDocument/2006/relationships/hyperlink" Target="http://www.sec.gov/Archives/edgar/data/1828161/000119312525155869/d96355dex102.htm" TargetMode="External"/><Relationship Id="rId45" Type="http://schemas.openxmlformats.org/officeDocument/2006/relationships/hyperlink" Target="http://www.sec.gov/Archives/edgar/data/1828161/000119312525155869/d96355dex103.htm" TargetMode="External"/><Relationship Id="rId46" Type="http://schemas.openxmlformats.org/officeDocument/2006/relationships/hyperlink" Target="http://www.sec.gov/Archives/edgar/data/1828161/000119312525155869/d96355dex104.htm" TargetMode="External"/><Relationship Id="rId48" Type="http://schemas.openxmlformats.org/officeDocument/2006/relationships/hyperlink" Target="http://www.sec.gov/Archives/edgar/data/1828161/000119312525155869/d96355dex105.htm" TargetMode="External"/><Relationship Id="rId49" Type="http://schemas.openxmlformats.org/officeDocument/2006/relationships/hyperlink" Target="http://www.sec.gov/Archives/edgar/data/1828161/000119312525155869/d96355dex106.htm" TargetMode="External"/><Relationship Id="rId51" Type="http://schemas.openxmlformats.org/officeDocument/2006/relationships/hyperlink" Target="http://www.sec.gov/Archives/edgar/data/1828161/000119312525155869/d96355dex107.htm" TargetMode="External"/><Relationship Id="rId52" Type="http://schemas.openxmlformats.org/officeDocument/2006/relationships/hyperlink" Target="http://www.sec.gov/Archives/edgar/data/1828161/000119312525155869/d96355dex108.htm" TargetMode="External"/><Relationship Id="rId54" Type="http://schemas.openxmlformats.org/officeDocument/2006/relationships/hyperlink" Target="http://www.sec.gov/Archives/edgar/data/1828161/000119312525155869/d96355dex109.htm" TargetMode="External"/><Relationship Id="rId55" Type="http://schemas.openxmlformats.org/officeDocument/2006/relationships/hyperlink" Target="https://www.sec.gov/Archives/edgar/data/1828161/000119312525276228/ftci-ex10_12.htm" TargetMode="External"/><Relationship Id="rId57" Type="http://schemas.openxmlformats.org/officeDocument/2006/relationships/hyperlink" Target="https://www.sec.gov/Archives/edgar/data/1828161/000114036121015526/nt10018987x16_ex10-1.htm" TargetMode="External"/><Relationship Id="rId58" Type="http://schemas.openxmlformats.org/officeDocument/2006/relationships/hyperlink" Target="https://www.sec.gov/Archives/edgar/data/1828161/000095017022004184/ftci-ex10_2.htm" TargetMode="External"/><Relationship Id="rId60" Type="http://schemas.openxmlformats.org/officeDocument/2006/relationships/hyperlink" Target="https://www.sec.gov/Archives/edgar/data/1828161/000095017021001227/ftci-20210630ex10_6.htm" TargetMode="External"/><Relationship Id="rId61" Type="http://schemas.openxmlformats.org/officeDocument/2006/relationships/hyperlink" Target="http://www.sec.gov/Archives/edgar/data/1828161/000182816125000004/ftci-ex10_1.htm" TargetMode="External"/><Relationship Id="rId63" Type="http://schemas.openxmlformats.org/officeDocument/2006/relationships/hyperlink" Target="https://www.sec.gov/Archives/edgar/data/1828161/000095017021001227/ftci-20210630ex10_7.htm" TargetMode="External"/><Relationship Id="rId64" Type="http://schemas.openxmlformats.org/officeDocument/2006/relationships/hyperlink" Target="https://www.sec.gov/Archives/edgar/data/1828161/000114036121013207/nt10018987x7_ex10-4.htm" TargetMode="External"/><Relationship Id="rId65" Type="http://schemas.openxmlformats.org/officeDocument/2006/relationships/hyperlink" Target="https://www.sec.gov/Archives/edgar/data/1828161/000095017024085635/ftci-ex10_1.htm" TargetMode="External"/><Relationship Id="rId66" Type="http://schemas.openxmlformats.org/officeDocument/2006/relationships/hyperlink" Target="https://www.sec.gov/Archives/edgar/data/1828161/000095017025047224/ftci-ex10_12.htm" TargetMode="External"/><Relationship Id="rId67" Type="http://schemas.openxmlformats.org/officeDocument/2006/relationships/hyperlink" Target="https://www.sec.gov/Archives/edgar/data/1828161/000095017025047224/ftci-ex10_13.htm" TargetMode="External"/><Relationship Id="rId68" Type="http://schemas.openxmlformats.org/officeDocument/2006/relationships/hyperlink" Target="https://www.sec.gov/Archives/edgar/data/1828161/000095017025047224/ftci-ex10_14.htm" TargetMode="External"/><Relationship Id="rId69" Type="http://schemas.openxmlformats.org/officeDocument/2006/relationships/hyperlink" Target="https://www.sec.gov/Archives/edgar/data/1828161/000095017024032250/ftci-ex10_14.htm" TargetMode="External"/><Relationship Id="rId70" Type="http://schemas.openxmlformats.org/officeDocument/2006/relationships/hyperlink" Target="https://www.sec.gov/Archives/edgar/data/1828161/000114036124037678/ef20034263_ex99-1.htm" TargetMode="External"/><Relationship Id="rId71" Type="http://schemas.openxmlformats.org/officeDocument/2006/relationships/hyperlink" Target="https://www.sec.gov/Archives/edgar/data/1828161/000114036124037678/ef20034263_ex99-2.htm" TargetMode="External"/><Relationship Id="rId72" Type="http://schemas.openxmlformats.org/officeDocument/2006/relationships/hyperlink" Target="https://www.sec.gov/Archives/edgar/data/1828161/000095017024032250/ftci-ex14_1.htm" TargetMode="External"/><Relationship Id="rId73" Type="http://schemas.openxmlformats.org/officeDocument/2006/relationships/hyperlink" Target="https://www.sec.gov/Archives/edgar/data/1828161/000095017024032250/ftci-ex19_1.htm" TargetMode="External"/><Relationship Id="rId74" Type="http://schemas.openxmlformats.org/officeDocument/2006/relationships/hyperlink" Target="http://www.sec.gov/Archives/edgar/data/1828161/000119312526120372/ftci-ex21_1.htm" TargetMode="External"/><Relationship Id="rId75" Type="http://schemas.openxmlformats.org/officeDocument/2006/relationships/hyperlink" Target="http://www.sec.gov/Archives/edgar/data/1828161/000119312526120372/ftci-ex23_1.htm" TargetMode="External"/><Relationship Id="rId76" Type="http://schemas.openxmlformats.org/officeDocument/2006/relationships/hyperlink" Target="http://www.sec.gov/ix?doc=/Archives/edgar/data/1828161/000119312526120372/ftci-20251231.htm#signatures" TargetMode="External"/><Relationship Id="rId77" Type="http://schemas.openxmlformats.org/officeDocument/2006/relationships/hyperlink" Target="https://www.sec.gov/Archives/edgar/data/1828161/000119312526120372/ftci-ex31_1.htm" TargetMode="External"/><Relationship Id="rId78" Type="http://schemas.openxmlformats.org/officeDocument/2006/relationships/hyperlink" Target="https://www.sec.gov/Archives/edgar/data/1828161/000119312526120372/ftci-ex31_2.htm" TargetMode="External"/><Relationship Id="rId79" Type="http://schemas.openxmlformats.org/officeDocument/2006/relationships/hyperlink" Target="https://www.sec.gov/Archives/edgar/data/1828161/000121390026048610/ea028796901ex31-3.htm" TargetMode="External"/><Relationship Id="rId80" Type="http://schemas.openxmlformats.org/officeDocument/2006/relationships/hyperlink" Target="https://www.sec.gov/Archives/edgar/data/1828161/000121390026048610/ea028796901ex31-4.htm" TargetMode="External"/><Relationship Id="rId81" Type="http://schemas.openxmlformats.org/officeDocument/2006/relationships/hyperlink" Target="https://www.sec.gov/Archives/edgar/data/1828161/000119312526120372/ftci-ex32_1.htm" TargetMode="External"/><Relationship Id="rId82" Type="http://schemas.openxmlformats.org/officeDocument/2006/relationships/hyperlink" Target="https://www.sec.gov/Archives/edgar/data/1828161/000119312526120372/ftci-ex32_2.htm" TargetMode="External"/><Relationship Id="rId83" Type="http://schemas.openxmlformats.org/officeDocument/2006/relationships/hyperlink" Target="https://www.sec.gov/Archives/edgar/data/1828161/000095017024032250/ftci-ex97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2026-06-15T15:31:28Z</dcterms:created>
  <dcterms:modified xsi:type="dcterms:W3CDTF">2026-06-15T15:31:28Z</dcterms:modified>
</cp:coreProperties>
</file>