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SADASIVAM SHAKER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10900 STONELAKE BLVD.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 QUARRY OAKS II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FTC Solar, Inc.</w:t>
              </w:r>
            </w:hyperlink>
            <w:r>
              <w:rPr/>
              <w:t xml:space="preserve"> [ </w:t>
            </w:r>
            <w:r>
              <w:rPr>
                <w:rFonts w:ascii="Times;serif" w:hAnsi="Times;serif"/>
                <w:color w:val="0000FF"/>
                <w:sz w:val="24"/>
                <w:shd w:fill="FFFFFF" w:val="clear"/>
              </w:rPr>
              <w:t>FTCI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703"/>
        <w:gridCol w:w="1138"/>
        <w:gridCol w:w="98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101,083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w:t>
            </w: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255,464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301,720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liability company</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weighted average purchase price per share for these shares, which were purchased in multiple transactions at prices ranging from $2.460 to $2.900. The Reporting Person undertakes to provide to the Issuer, the staff of the Commission or any security holder of the Issuer, upon request,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Manager of ChristSivam, LLC and has sole voting and dispositive power with respect to the shares held by ChristSivam, LLC.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Cathy Behnen,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432" TargetMode="External"/><Relationship Id="rId5" Type="http://schemas.openxmlformats.org/officeDocument/2006/relationships/hyperlink" Target="http://www.sec.gov/cgi-bin/browse-edgar?action=getcompany&amp;CIK=00018281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3819</Characters>
  <CharactersWithSpaces>4454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