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tci-20260630.htm"/>
      <w:bookmarkStart w:id="1" w:name="ksftci20260630"/>
      <w:bookmarkEnd w:id="0"/>
      <w:bookmarkEnd w:id="1"/>
      <w:r>
        <w:rPr/>
        <w:t> </w:t>
      </w:r>
    </w:p>
    <w:p>
      <w:pPr>
        <w:pStyle w:val="TextBody"/>
        <w:bidi w:val="0"/>
        <w:spacing w:before="0" w:after="120"/>
        <w:jc w:val="center"/>
        <w:rPr>
          <w:rFonts w:ascii="Times New Roman" w:hAnsi="Times New Roman"/>
          <w:sz w:val="20"/>
        </w:rPr>
      </w:pPr>
      <w:r>
        <w:rPr>
          <w:rFonts w:ascii="Times New Roman" w:hAnsi="Times New Roman"/>
          <w:b/>
          <w:color w:val="000000"/>
          <w:sz w:val="36"/>
        </w:rPr>
        <w:t>UNITED STATES</w:t>
        <w:br/>
        <w:t>SECURITIES AND EXCHANGE COMMISSION</w:t>
      </w:r>
      <w:r>
        <w:rPr>
          <w:rFonts w:ascii="Times New Roman" w:hAnsi="Times New Roman"/>
          <w:b/>
          <w:color w:val="000000"/>
          <w:sz w:val="20"/>
        </w:rPr>
        <w:br/>
        <w:t>WASHINGTON, D.C. 20549</w:t>
      </w:r>
    </w:p>
    <w:p>
      <w:pPr>
        <w:pStyle w:val="TextBody"/>
        <w:bidi w:val="0"/>
        <w:spacing w:before="0" w:after="240"/>
        <w:jc w:val="center"/>
        <w:rPr>
          <w:rFonts w:ascii="Times New Roman" w:hAnsi="Times New Roman"/>
          <w:b/>
          <w:color w:val="000000"/>
          <w:sz w:val="36"/>
        </w:rPr>
      </w:pPr>
      <w:r>
        <w:rPr>
          <w:rFonts w:ascii="Times New Roman" w:hAnsi="Times New Roman"/>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For the quarterly period ended June 30, 2026</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For the transition period from __________to__________</w:t>
      </w:r>
    </w:p>
    <w:p>
      <w:pPr>
        <w:pStyle w:val="TextBody"/>
        <w:bidi w:val="0"/>
        <w:spacing w:before="0" w:after="12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001-40350</w:t>
      </w:r>
    </w:p>
    <w:p>
      <w:pPr>
        <w:pStyle w:val="TextBody"/>
        <w:bidi w:val="0"/>
        <w:spacing w:before="0" w:after="180"/>
        <w:jc w:val="center"/>
        <w:rPr>
          <w:rFonts w:ascii="Times New Roman" w:hAnsi="Times New Roman"/>
          <w:sz w:val="20"/>
        </w:rPr>
      </w:pPr>
      <w:r>
        <w:rPr>
          <w:rFonts w:ascii="Times New Roman" w:hAnsi="Times New Roman"/>
          <w:b/>
          <w:color w:val="000000"/>
          <w:sz w:val="36"/>
        </w:rPr>
        <w:t>FTC SOLAR, INC.</w:t>
      </w:r>
      <w:r>
        <w:rPr>
          <w:rFonts w:ascii="Times New Roman" w:hAnsi="Times New Roman"/>
          <w:b/>
          <w:color w:val="000000"/>
          <w:sz w:val="20"/>
        </w:rPr>
        <w:br/>
      </w:r>
      <w:r>
        <w:rPr>
          <w:rFonts w:ascii="Times New Roman" w:hAnsi="Times New Roman"/>
          <w:color w:val="000000"/>
          <w:sz w:val="17"/>
        </w:rPr>
        <w:t>(Exact name of registrant as specified in its charter)</w:t>
      </w:r>
    </w:p>
    <w:tbl>
      <w:tblPr>
        <w:tblW w:w="7528" w:type="dxa"/>
        <w:jc w:val="left"/>
        <w:tblInd w:w="0" w:type="dxa"/>
        <w:tblLayout w:type="fixed"/>
        <w:tblCellMar>
          <w:top w:w="28" w:type="dxa"/>
          <w:left w:w="28" w:type="dxa"/>
          <w:bottom w:w="28" w:type="dxa"/>
          <w:right w:w="28" w:type="dxa"/>
        </w:tblCellMar>
      </w:tblPr>
      <w:tblGrid>
        <w:gridCol w:w="4666"/>
        <w:gridCol w:w="146"/>
        <w:gridCol w:w="2716"/>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81-4816270</w:t>
            </w:r>
          </w:p>
        </w:tc>
      </w:tr>
      <w:tr>
        <w:trPr/>
        <w:tc>
          <w:tcPr>
            <w:tcW w:w="4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4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10900 Stonelake Blvd, Suite 100, Quarry Oaks II Building,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Austin, Texas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1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78759</w:t>
            </w:r>
          </w:p>
        </w:tc>
      </w:tr>
      <w:tr>
        <w:trPr/>
        <w:tc>
          <w:tcPr>
            <w:tcW w:w="466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 </w:t>
            </w:r>
            <w:r>
              <w:rPr>
                <w:rFonts w:ascii="Times New Roman" w:hAnsi="Times New Roman"/>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before="0" w:after="120"/>
        <w:jc w:val="left"/>
        <w:rPr/>
      </w:pPr>
      <w:r>
        <w:rPr/>
        <w:t> </w:t>
      </w:r>
    </w:p>
    <w:tbl>
      <w:tblPr>
        <w:tblW w:w="6248" w:type="dxa"/>
        <w:jc w:val="left"/>
        <w:tblInd w:w="0" w:type="dxa"/>
        <w:tblLayout w:type="fixed"/>
        <w:tblCellMar>
          <w:top w:w="28" w:type="dxa"/>
          <w:left w:w="28" w:type="dxa"/>
          <w:bottom w:w="28" w:type="dxa"/>
          <w:right w:w="28" w:type="dxa"/>
        </w:tblCellMar>
      </w:tblPr>
      <w:tblGrid>
        <w:gridCol w:w="161"/>
        <w:gridCol w:w="58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(512) 481-4271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(Registrant's telephone number, including area code)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8463" w:type="dxa"/>
        <w:jc w:val="left"/>
        <w:tblInd w:w="0" w:type="dxa"/>
        <w:tblLayout w:type="fixed"/>
        <w:tblCellMar>
          <w:top w:w="28" w:type="dxa"/>
          <w:left w:w="28" w:type="dxa"/>
          <w:bottom w:w="28" w:type="dxa"/>
          <w:right w:w="28" w:type="dxa"/>
        </w:tblCellMar>
      </w:tblPr>
      <w:tblGrid>
        <w:gridCol w:w="2941"/>
        <w:gridCol w:w="169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Name of each exchange on which registered</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Common Stock, $0.0001 par value</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FTCI</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The Nasdaq Stock Market LLC</w:t>
            </w:r>
          </w:p>
        </w:tc>
      </w:tr>
    </w:tbl>
    <w:p>
      <w:pPr>
        <w:pStyle w:val="TextBody"/>
        <w:bidi w:val="0"/>
        <w:spacing w:before="120" w:after="120"/>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w:t>
      </w:r>
    </w:p>
    <w:p>
      <w:pPr>
        <w:pStyle w:val="TextBody"/>
        <w:bidi w:val="0"/>
        <w:spacing w:before="0" w:after="12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 </w:t>
      </w: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w:t>
      </w:r>
    </w:p>
    <w:p>
      <w:pPr>
        <w:pStyle w:val="TextBody"/>
        <w:bidi w:val="0"/>
        <w:spacing w:before="0" w:after="120"/>
        <w:jc w:val="both"/>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8674" w:type="dxa"/>
        <w:jc w:val="left"/>
        <w:tblInd w:w="0" w:type="dxa"/>
        <w:tblLayout w:type="fixed"/>
        <w:tblCellMar>
          <w:top w:w="28" w:type="dxa"/>
          <w:left w:w="28" w:type="dxa"/>
          <w:bottom w:w="28" w:type="dxa"/>
          <w:right w:w="28" w:type="dxa"/>
        </w:tblCellMar>
      </w:tblPr>
      <w:tblGrid>
        <w:gridCol w:w="2145"/>
        <w:gridCol w:w="256"/>
        <w:gridCol w:w="1261"/>
        <w:gridCol w:w="241"/>
        <w:gridCol w:w="1576"/>
        <w:gridCol w:w="316"/>
        <w:gridCol w:w="2026"/>
        <w:gridCol w:w="316"/>
        <w:gridCol w:w="537"/>
      </w:tblGrid>
      <w:tr>
        <w:trPr/>
        <w:tc>
          <w:tcPr>
            <w:tcW w:w="21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346"/>
              <w:jc w:val="left"/>
              <w:rPr>
                <w:sz w:val="4"/>
                <w:szCs w:val="4"/>
              </w:rPr>
            </w:pPr>
            <w:r>
              <w:rPr>
                <w:sz w:val="4"/>
                <w:szCs w:val="4"/>
              </w:rPr>
            </w:r>
          </w:p>
        </w:tc>
      </w:tr>
      <w:tr>
        <w:trPr/>
        <w:tc>
          <w:tcPr>
            <w:tcW w:w="2145" w:type="dxa"/>
            <w:tcBorders/>
            <w:tcMar>
              <w:top w:w="0" w:type="dxa"/>
              <w:left w:w="0" w:type="dxa"/>
              <w:bottom w:w="0" w:type="dxa"/>
              <w:right w:w="0" w:type="dxa"/>
            </w:tcMar>
            <w:vAlign w:val="center"/>
          </w:tcPr>
          <w:p>
            <w:pPr>
              <w:pStyle w:val="TableContents"/>
              <w:bidi w:val="0"/>
              <w:spacing w:before="0" w:after="283"/>
              <w:ind w:left="0" w:right="0" w:firstLine="346"/>
              <w:jc w:val="left"/>
              <w:rPr>
                <w:rFonts w:ascii="Times New Roman" w:hAnsi="Times New Roman"/>
                <w:color w:val="000000"/>
                <w:sz w:val="18"/>
              </w:rPr>
            </w:pPr>
            <w:r>
              <w:rPr>
                <w:rFonts w:ascii="Times New Roman" w:hAnsi="Times New Roman"/>
                <w:color w:val="000000"/>
                <w:sz w:val="18"/>
              </w:rPr>
              <w:t>Large accelerated filer</w:t>
            </w:r>
          </w:p>
        </w:tc>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5"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ind w:left="0" w:right="0" w:firstLine="346"/>
              <w:jc w:val="left"/>
              <w:rPr/>
            </w:pPr>
            <w:r>
              <w:rPr/>
              <w:t> </w:t>
            </w:r>
          </w:p>
        </w:tc>
      </w:tr>
      <w:tr>
        <w:trPr/>
        <w:tc>
          <w:tcPr>
            <w:tcW w:w="2401" w:type="dxa"/>
            <w:gridSpan w:val="2"/>
            <w:tcBorders/>
            <w:tcMar>
              <w:top w:w="0" w:type="dxa"/>
              <w:left w:w="0" w:type="dxa"/>
              <w:bottom w:w="0" w:type="dxa"/>
              <w:right w:w="0" w:type="dxa"/>
            </w:tcMar>
            <w:vAlign w:val="center"/>
          </w:tcPr>
          <w:p>
            <w:pPr>
              <w:pStyle w:val="TableContents"/>
              <w:bidi w:val="0"/>
              <w:spacing w:before="0" w:after="283"/>
              <w:ind w:left="0" w:right="0" w:firstLine="346"/>
              <w:jc w:val="left"/>
              <w:rPr>
                <w:rFonts w:ascii="Times New Roman" w:hAnsi="Times New Roman"/>
                <w:color w:val="000000"/>
                <w:sz w:val="18"/>
              </w:rPr>
            </w:pPr>
            <w:r>
              <w:rPr>
                <w:rFonts w:ascii="Times New Roman" w:hAnsi="Times New Roman"/>
                <w:color w:val="000000"/>
                <w:sz w:val="18"/>
              </w:rPr>
              <w:t>Emerging growth company</w:t>
            </w:r>
          </w:p>
        </w:tc>
        <w:tc>
          <w:tcPr>
            <w:tcW w:w="12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w:t>
      </w:r>
      <w:r>
        <w:rPr>
          <w:rFonts w:ascii="Times New Roman" w:hAnsi="Times New Roman"/>
          <w:color w:val="000000"/>
          <w:sz w:val="20"/>
        </w:rPr>
        <w:t xml:space="preserve"> </w:t>
      </w:r>
      <w:r>
        <w:rPr>
          <w:rFonts w:ascii="Times New Roman" w:hAnsi="Times New Roman"/>
          <w:color w:val="000000"/>
          <w:sz w:val="18"/>
        </w:rPr>
        <w:t xml:space="preserve">Yes </w:t>
      </w:r>
      <w:r>
        <w:rPr>
          <w:rFonts w:ascii="Times New Roman" w:hAnsi="Times New Roman"/>
          <w:color w:val="000000"/>
          <w:sz w:val="20"/>
        </w:rPr>
        <w:t xml:space="preserve">☒ </w:t>
      </w:r>
      <w:r>
        <w:rPr>
          <w:rFonts w:ascii="Times New Roman" w:hAnsi="Times New Roman"/>
          <w:color w:val="000000"/>
          <w:sz w:val="18"/>
        </w:rPr>
        <w:t>No</w:t>
      </w:r>
    </w:p>
    <w:p>
      <w:pPr>
        <w:pStyle w:val="TextBody"/>
        <w:bidi w:val="0"/>
        <w:spacing w:before="0" w:after="120"/>
        <w:jc w:val="left"/>
        <w:rPr>
          <w:rFonts w:ascii="Times New Roman" w:hAnsi="Times New Roman"/>
          <w:sz w:val="20"/>
        </w:rPr>
      </w:pPr>
      <w:r>
        <w:rPr>
          <w:rFonts w:ascii="Times New Roman" w:hAnsi="Times New Roman"/>
          <w:color w:val="000000"/>
          <w:sz w:val="18"/>
        </w:rPr>
        <w:t>As of July 31, 2026, 16,461,251</w:t>
      </w:r>
      <w:r>
        <w:rPr>
          <w:rFonts w:ascii="Times New Roman" w:hAnsi="Times New Roman"/>
          <w:color w:val="000000"/>
          <w:sz w:val="20"/>
        </w:rPr>
        <w:t xml:space="preserve"> </w:t>
      </w:r>
      <w:r>
        <w:rPr>
          <w:rFonts w:ascii="Times New Roman" w:hAnsi="Times New Roman"/>
          <w:color w:val="000000"/>
          <w:sz w:val="18"/>
        </w:rPr>
        <w:t>shares of the registrant's common stock were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2764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723900"/>
                    </a:xfrm>
                    <a:prstGeom prst="rect">
                      <a:avLst/>
                    </a:prstGeom>
                  </pic:spPr>
                </pic:pic>
              </a:graphicData>
            </a:graphic>
          </wp:inline>
        </w:drawing>
      </w:r>
    </w:p>
    <w:p>
      <w:pPr>
        <w:pStyle w:val="TextBody"/>
        <w:bidi w:val="0"/>
        <w:spacing w:before="360" w:after="240"/>
        <w:jc w:val="center"/>
        <w:rPr>
          <w:rFonts w:ascii="Times New Roman" w:hAnsi="Times New Roman"/>
          <w:b/>
          <w:color w:val="000000"/>
          <w:sz w:val="24"/>
        </w:rPr>
      </w:pPr>
      <w:r>
        <w:rPr>
          <w:rFonts w:ascii="Times New Roman" w:hAnsi="Times New Roman"/>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651"/>
        <w:gridCol w:w="904"/>
        <w:gridCol w:w="7888"/>
        <w:gridCol w:w="762"/>
      </w:tblGrid>
      <w:tr>
        <w:trPr/>
        <w:tc>
          <w:tcPr>
            <w:tcW w:w="65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88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6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04" w:type="dxa"/>
            <w:tcBorders/>
            <w:tcMar>
              <w:top w:w="0" w:type="dxa"/>
              <w:left w:w="0" w:type="dxa"/>
              <w:bottom w:w="0" w:type="dxa"/>
              <w:right w:w="0" w:type="dxa"/>
            </w:tcMar>
            <w:vAlign w:val="center"/>
          </w:tcPr>
          <w:p>
            <w:pPr>
              <w:pStyle w:val="TableContents"/>
              <w:bidi w:val="0"/>
              <w:spacing w:before="0" w:after="283"/>
              <w:jc w:val="right"/>
              <w:rPr/>
            </w:pPr>
            <w:r>
              <w:rPr/>
              <w:t> </w:t>
            </w:r>
          </w:p>
        </w:tc>
        <w:tc>
          <w:tcPr>
            <w:tcW w:w="7888" w:type="dxa"/>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10205" w:type="dxa"/>
            <w:gridSpan w:val="4"/>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PART I - FINANCIAL INFORMATION</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forward_looking_statement">
              <w:r>
                <w:rPr>
                  <w:rStyle w:val="InternetLink"/>
                  <w:rFonts w:ascii="Times New Roman" w:hAnsi="Times New Roman"/>
                  <w:color w:val="0000FF"/>
                  <w:sz w:val="22"/>
                  <w:u w:val="single"/>
                </w:rPr>
                <w:t>Forward-looking statements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1.</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1">
              <w:r>
                <w:rPr>
                  <w:rStyle w:val="InternetLink"/>
                  <w:rFonts w:ascii="Times New Roman" w:hAnsi="Times New Roman"/>
                  <w:color w:val="0000FF"/>
                  <w:sz w:val="22"/>
                  <w:u w:val="single"/>
                </w:rPr>
                <w:t>Financial Statements (Unaudited)</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ind w:left="0" w:right="0" w:firstLine="490"/>
              <w:jc w:val="left"/>
              <w:rPr/>
            </w:pPr>
            <w:hyperlink w:anchor="consolidated_balance_sheets">
              <w:r>
                <w:rPr>
                  <w:rStyle w:val="InternetLink"/>
                  <w:rFonts w:ascii="Times New Roman" w:hAnsi="Times New Roman"/>
                  <w:color w:val="0000FF"/>
                  <w:sz w:val="22"/>
                  <w:u w:val="single"/>
                </w:rPr>
                <w:t>Condensed Consolidated Balance Sheets</w:t>
              </w:r>
            </w:hyperlink>
          </w:p>
        </w:tc>
        <w:tc>
          <w:tcPr>
            <w:tcW w:w="762" w:type="dxa"/>
            <w:tcBorders/>
            <w:tcMar>
              <w:top w:w="0" w:type="dxa"/>
              <w:left w:w="0" w:type="dxa"/>
              <w:bottom w:w="0" w:type="dxa"/>
              <w:right w:w="0" w:type="dxa"/>
            </w:tcMar>
            <w:vAlign w:val="center"/>
          </w:tcPr>
          <w:p>
            <w:pPr>
              <w:pStyle w:val="TableContents"/>
              <w:bidi w:val="0"/>
              <w:spacing w:before="0" w:after="240"/>
              <w:ind w:left="0" w:right="0" w:firstLine="490"/>
              <w:jc w:val="right"/>
              <w:rPr>
                <w:rFonts w:ascii="Times New Roman" w:hAnsi="Times New Roman"/>
                <w:color w:val="000000"/>
                <w:sz w:val="22"/>
              </w:rPr>
            </w:pPr>
            <w:r>
              <w:rPr>
                <w:rFonts w:ascii="Times New Roman" w:hAnsi="Times New Roman"/>
                <w:color w:val="000000"/>
                <w:sz w:val="22"/>
              </w:rPr>
              <w:t>2</w:t>
            </w:r>
          </w:p>
        </w:tc>
      </w:tr>
      <w:tr>
        <w:trPr/>
        <w:tc>
          <w:tcPr>
            <w:tcW w:w="651"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ind w:left="0" w:right="0" w:firstLine="490"/>
              <w:jc w:val="left"/>
              <w:rPr/>
            </w:pPr>
            <w:hyperlink w:anchor="consolidated_statements_of_operations">
              <w:r>
                <w:rPr>
                  <w:rStyle w:val="InternetLink"/>
                  <w:rFonts w:ascii="Times New Roman" w:hAnsi="Times New Roman"/>
                  <w:color w:val="0000FF"/>
                  <w:sz w:val="20"/>
                  <w:u w:val="single"/>
                </w:rPr>
                <w:t>Condensed Consolidated Statements of Comprehensive Results of Operations</w:t>
              </w:r>
            </w:hyperlink>
          </w:p>
        </w:tc>
        <w:tc>
          <w:tcPr>
            <w:tcW w:w="762" w:type="dxa"/>
            <w:tcBorders/>
            <w:tcMar>
              <w:top w:w="0" w:type="dxa"/>
              <w:left w:w="0" w:type="dxa"/>
              <w:bottom w:w="0" w:type="dxa"/>
              <w:right w:w="0" w:type="dxa"/>
            </w:tcMar>
            <w:vAlign w:val="center"/>
          </w:tcPr>
          <w:p>
            <w:pPr>
              <w:pStyle w:val="TableContents"/>
              <w:bidi w:val="0"/>
              <w:spacing w:before="0" w:after="240"/>
              <w:ind w:left="0" w:right="0" w:firstLine="490"/>
              <w:jc w:val="right"/>
              <w:rPr>
                <w:rFonts w:ascii="Times New Roman" w:hAnsi="Times New Roman"/>
                <w:color w:val="000000"/>
                <w:sz w:val="22"/>
              </w:rPr>
            </w:pPr>
            <w:r>
              <w:rPr>
                <w:rFonts w:ascii="Times New Roman" w:hAnsi="Times New Roman"/>
                <w:color w:val="000000"/>
                <w:sz w:val="22"/>
              </w:rPr>
              <w:t>3</w:t>
            </w:r>
          </w:p>
        </w:tc>
      </w:tr>
      <w:tr>
        <w:trPr/>
        <w:tc>
          <w:tcPr>
            <w:tcW w:w="651"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ind w:left="0" w:right="0" w:firstLine="490"/>
              <w:jc w:val="left"/>
              <w:rPr/>
            </w:pPr>
            <w:hyperlink w:anchor="consolidated_statements_of_se">
              <w:r>
                <w:rPr>
                  <w:rStyle w:val="InternetLink"/>
                  <w:rFonts w:ascii="Times New Roman" w:hAnsi="Times New Roman"/>
                  <w:color w:val="0000FF"/>
                  <w:sz w:val="20"/>
                  <w:u w:val="single"/>
                </w:rPr>
                <w:t>Condensed Consolidated Statements of Changes in Stockholders’ Equity (Deficit)</w:t>
              </w:r>
            </w:hyperlink>
          </w:p>
        </w:tc>
        <w:tc>
          <w:tcPr>
            <w:tcW w:w="762" w:type="dxa"/>
            <w:tcBorders/>
            <w:tcMar>
              <w:top w:w="0" w:type="dxa"/>
              <w:left w:w="0" w:type="dxa"/>
              <w:bottom w:w="0" w:type="dxa"/>
              <w:right w:w="0" w:type="dxa"/>
            </w:tcMar>
            <w:vAlign w:val="center"/>
          </w:tcPr>
          <w:p>
            <w:pPr>
              <w:pStyle w:val="TableContents"/>
              <w:bidi w:val="0"/>
              <w:spacing w:before="0" w:after="240"/>
              <w:ind w:left="0" w:right="0" w:firstLine="490"/>
              <w:jc w:val="right"/>
              <w:rPr>
                <w:rFonts w:ascii="Times New Roman" w:hAnsi="Times New Roman"/>
                <w:color w:val="000000"/>
                <w:sz w:val="22"/>
              </w:rPr>
            </w:pPr>
            <w:r>
              <w:rPr>
                <w:rFonts w:ascii="Times New Roman" w:hAnsi="Times New Roman"/>
                <w:color w:val="000000"/>
                <w:sz w:val="22"/>
              </w:rPr>
              <w:t>4</w:t>
            </w:r>
          </w:p>
        </w:tc>
      </w:tr>
      <w:tr>
        <w:trPr/>
        <w:tc>
          <w:tcPr>
            <w:tcW w:w="651"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ind w:left="0" w:right="0" w:firstLine="490"/>
              <w:jc w:val="left"/>
              <w:rPr/>
            </w:pPr>
            <w:hyperlink w:anchor="consolidated_statements_of_cash_flows">
              <w:r>
                <w:rPr>
                  <w:rStyle w:val="InternetLink"/>
                  <w:rFonts w:ascii="Times New Roman" w:hAnsi="Times New Roman"/>
                  <w:color w:val="0000FF"/>
                  <w:sz w:val="22"/>
                  <w:u w:val="single"/>
                </w:rPr>
                <w:t>Condensed Consolidated Statements of Cash Flows</w:t>
              </w:r>
            </w:hyperlink>
          </w:p>
        </w:tc>
        <w:tc>
          <w:tcPr>
            <w:tcW w:w="762" w:type="dxa"/>
            <w:tcBorders/>
            <w:tcMar>
              <w:top w:w="0" w:type="dxa"/>
              <w:left w:w="0" w:type="dxa"/>
              <w:bottom w:w="0" w:type="dxa"/>
              <w:right w:w="0" w:type="dxa"/>
            </w:tcMar>
            <w:vAlign w:val="center"/>
          </w:tcPr>
          <w:p>
            <w:pPr>
              <w:pStyle w:val="TableContents"/>
              <w:bidi w:val="0"/>
              <w:spacing w:before="0" w:after="240"/>
              <w:ind w:left="0" w:right="0" w:firstLine="490"/>
              <w:jc w:val="right"/>
              <w:rPr>
                <w:rFonts w:ascii="Times New Roman" w:hAnsi="Times New Roman"/>
                <w:color w:val="000000"/>
                <w:sz w:val="22"/>
              </w:rPr>
            </w:pPr>
            <w:r>
              <w:rPr>
                <w:rFonts w:ascii="Times New Roman" w:hAnsi="Times New Roman"/>
                <w:color w:val="000000"/>
                <w:sz w:val="22"/>
              </w:rPr>
              <w:t>6</w:t>
            </w:r>
          </w:p>
        </w:tc>
      </w:tr>
      <w:tr>
        <w:trPr/>
        <w:tc>
          <w:tcPr>
            <w:tcW w:w="651"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ind w:left="0" w:right="0" w:firstLine="490"/>
              <w:jc w:val="left"/>
              <w:rPr/>
            </w:pPr>
            <w:r>
              <w:rPr/>
              <w:t> </w:t>
            </w:r>
          </w:p>
        </w:tc>
        <w:tc>
          <w:tcPr>
            <w:tcW w:w="7888" w:type="dxa"/>
            <w:tcBorders/>
            <w:tcMar>
              <w:top w:w="0" w:type="dxa"/>
              <w:left w:w="0" w:type="dxa"/>
              <w:bottom w:w="0" w:type="dxa"/>
              <w:right w:w="0" w:type="dxa"/>
            </w:tcMar>
            <w:vAlign w:val="center"/>
          </w:tcPr>
          <w:p>
            <w:pPr>
              <w:pStyle w:val="TableContents"/>
              <w:bidi w:val="0"/>
              <w:spacing w:before="0" w:after="240"/>
              <w:ind w:left="0" w:right="0" w:firstLine="490"/>
              <w:jc w:val="left"/>
              <w:rPr/>
            </w:pPr>
            <w:hyperlink w:anchor="notes_to_consolidated_financial_stmts">
              <w:r>
                <w:rPr>
                  <w:rStyle w:val="InternetLink"/>
                  <w:rFonts w:ascii="Times New Roman" w:hAnsi="Times New Roman"/>
                  <w:color w:val="0000FF"/>
                  <w:sz w:val="22"/>
                  <w:u w:val="single"/>
                </w:rPr>
                <w:t>Notes to Condensed Consolidated Financial Statements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7</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2.</w:t>
            </w:r>
          </w:p>
        </w:tc>
        <w:tc>
          <w:tcPr>
            <w:tcW w:w="788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2"/>
                  <w:u w:val="single"/>
                </w:rPr>
                <w:t>Management’s Discussion and Analysis of Financial Condition and Results of Operations</w:t>
              </w:r>
            </w:hyperlink>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3.</w:t>
            </w:r>
          </w:p>
        </w:tc>
        <w:tc>
          <w:tcPr>
            <w:tcW w:w="7888"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2"/>
                  <w:u w:val="single"/>
                </w:rPr>
                <w:t>Quantitative and Qualitative Disclosures About Market Risk</w:t>
              </w:r>
            </w:hyperlink>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4.</w:t>
            </w:r>
          </w:p>
        </w:tc>
        <w:tc>
          <w:tcPr>
            <w:tcW w:w="7888"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2"/>
                  <w:u w:val="single"/>
                </w:rPr>
                <w:t>Controls and Procedures</w:t>
              </w:r>
            </w:hyperlink>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PART II – OTHER INFORMATION</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1.</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1_legal_proceedings">
              <w:r>
                <w:rPr>
                  <w:rStyle w:val="InternetLink"/>
                  <w:rFonts w:ascii="Times New Roman" w:hAnsi="Times New Roman"/>
                  <w:color w:val="0000FF"/>
                  <w:sz w:val="22"/>
                  <w:u w:val="single"/>
                </w:rPr>
                <w:t>Legal Proceedings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53</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1A.</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1a_risk_factors">
              <w:r>
                <w:rPr>
                  <w:rStyle w:val="InternetLink"/>
                  <w:rFonts w:ascii="Times New Roman" w:hAnsi="Times New Roman"/>
                  <w:color w:val="0000FF"/>
                  <w:sz w:val="22"/>
                  <w:u w:val="single"/>
                </w:rPr>
                <w:t>Risk Factors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54</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2.</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2_unregistered_sales_equity_securit">
              <w:r>
                <w:rPr>
                  <w:rStyle w:val="InternetLink"/>
                  <w:rFonts w:ascii="Times New Roman" w:hAnsi="Times New Roman"/>
                  <w:color w:val="0000FF"/>
                  <w:sz w:val="22"/>
                  <w:u w:val="single"/>
                </w:rPr>
                <w:t>Unregistered Sales of Equity Securities and Use of Proceeds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58</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3.</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3_defaults_upon_senior_securities">
              <w:r>
                <w:rPr>
                  <w:rStyle w:val="InternetLink"/>
                  <w:rFonts w:ascii="Times New Roman" w:hAnsi="Times New Roman"/>
                  <w:color w:val="0000FF"/>
                  <w:sz w:val="22"/>
                  <w:u w:val="single"/>
                </w:rPr>
                <w:t>Defaults Upon Senior Securities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58</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4.</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4_mine_safety_disclosures">
              <w:r>
                <w:rPr>
                  <w:rStyle w:val="InternetLink"/>
                  <w:rFonts w:ascii="Times New Roman" w:hAnsi="Times New Roman"/>
                  <w:color w:val="0000FF"/>
                  <w:sz w:val="22"/>
                  <w:u w:val="single"/>
                </w:rPr>
                <w:t>Mine Safety Disclosures</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59</w:t>
            </w:r>
          </w:p>
        </w:tc>
      </w:tr>
      <w:tr>
        <w:trPr/>
        <w:tc>
          <w:tcPr>
            <w:tcW w:w="651" w:type="dxa"/>
            <w:tcBorders/>
            <w:tcMar>
              <w:top w:w="0" w:type="dxa"/>
              <w:left w:w="0" w:type="dxa"/>
              <w:bottom w:w="0" w:type="dxa"/>
              <w:right w:w="0" w:type="dxa"/>
            </w:tcMar>
            <w:vAlign w:val="center"/>
          </w:tcPr>
          <w:p>
            <w:pPr>
              <w:pStyle w:val="TableContents"/>
              <w:bidi w:val="0"/>
              <w:spacing w:before="0" w:after="240"/>
              <w:jc w:val="left"/>
              <w:rPr/>
            </w:pPr>
            <w:r>
              <w:rPr/>
              <w:t> </w:t>
            </w:r>
          </w:p>
        </w:tc>
        <w:tc>
          <w:tcPr>
            <w:tcW w:w="9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Item 5.</w:t>
            </w:r>
          </w:p>
        </w:tc>
        <w:tc>
          <w:tcPr>
            <w:tcW w:w="7888" w:type="dxa"/>
            <w:tcBorders/>
            <w:tcMar>
              <w:top w:w="0" w:type="dxa"/>
              <w:left w:w="0" w:type="dxa"/>
              <w:bottom w:w="0" w:type="dxa"/>
              <w:right w:w="0" w:type="dxa"/>
            </w:tcMar>
            <w:vAlign w:val="center"/>
          </w:tcPr>
          <w:p>
            <w:pPr>
              <w:pStyle w:val="TableContents"/>
              <w:bidi w:val="0"/>
              <w:spacing w:before="0" w:after="240"/>
              <w:jc w:val="left"/>
              <w:rPr/>
            </w:pPr>
            <w:hyperlink w:anchor="item_5_other_information">
              <w:r>
                <w:rPr>
                  <w:rStyle w:val="InternetLink"/>
                  <w:rFonts w:ascii="Times New Roman" w:hAnsi="Times New Roman"/>
                  <w:color w:val="0000FF"/>
                  <w:sz w:val="22"/>
                  <w:u w:val="single"/>
                </w:rPr>
                <w:t>Other Information</w:t>
              </w:r>
            </w:hyperlink>
          </w:p>
        </w:tc>
        <w:tc>
          <w:tcPr>
            <w:tcW w:w="762"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59</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6.</w:t>
            </w:r>
          </w:p>
        </w:tc>
        <w:tc>
          <w:tcPr>
            <w:tcW w:w="788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2"/>
                  <w:u w:val="single"/>
                </w:rPr>
                <w:t>Exhibits</w:t>
              </w:r>
            </w:hyperlink>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9443" w:type="dxa"/>
            <w:gridSpan w:val="3"/>
            <w:tcBorders/>
            <w:tcMar>
              <w:top w:w="0" w:type="dxa"/>
              <w:left w:w="0" w:type="dxa"/>
              <w:bottom w:w="0" w:type="dxa"/>
              <w:right w:w="0" w:type="dxa"/>
            </w:tcMar>
            <w:vAlign w:val="center"/>
          </w:tcPr>
          <w:p>
            <w:pPr>
              <w:pStyle w:val="TableContents"/>
              <w:bidi w:val="0"/>
              <w:spacing w:before="240" w:after="283"/>
              <w:jc w:val="left"/>
              <w:rPr/>
            </w:pPr>
            <w:hyperlink w:anchor="signatures_266994">
              <w:r>
                <w:rPr>
                  <w:rStyle w:val="InternetLink"/>
                  <w:rFonts w:ascii="Times New Roman" w:hAnsi="Times New Roman"/>
                  <w:color w:val="0000FF"/>
                  <w:sz w:val="22"/>
                  <w:u w:val="single"/>
                </w:rPr>
                <w:t>SIGNATURE</w:t>
              </w:r>
            </w:hyperlink>
          </w:p>
        </w:tc>
        <w:tc>
          <w:tcPr>
            <w:tcW w:w="762"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2"/>
              </w:rPr>
            </w:pPr>
            <w:r>
              <w:rPr>
                <w:rFonts w:ascii="Times New Roman" w:hAnsi="Times New Roman"/>
                <w:color w:val="000000"/>
                <w:sz w:val="22"/>
              </w:rPr>
              <w:t>61</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bookmarkStart w:id="2" w:name="forward_looking_statement"/>
      <w:bookmarkEnd w:id="2"/>
      <w:r>
        <w:rPr>
          <w:rFonts w:ascii="Times New Roman" w:hAnsi="Times New Roman"/>
          <w:b/>
          <w:color w:val="000000"/>
          <w:sz w:val="24"/>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All statements other than statements of historical or current facts contained in this Quarterly Report may be forward-looking statements. Statements regarding our future results of operations and financial position, business strategy and plans and objectives of management for future operations, including, among others,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the negative of these words, other similar expressions or by discussions of strategy, plans or intentions.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Part II, Item 1A. "Risk Factors" of this Quarterly Report, and more comprehensively in Part I, Item 1A "Risk Factors" included in our Annual Report on Form 10-K, as amended, for the year ended December 31, 2025 ("2025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with the understanding that our actual future results may be materially different from what we expect. All forward-looking statements attributable to us or persons acting on our behalf are expressly qualified in their entirety by these cautionary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3" w:name="item_1"/>
      <w:bookmarkEnd w:id="3"/>
      <w:r>
        <w:rPr>
          <w:rFonts w:ascii="Times New Roman" w:hAnsi="Times New Roman"/>
          <w:b/>
          <w:color w:val="000000"/>
          <w:sz w:val="24"/>
        </w:rPr>
        <w:t>ITEM 1. FINANCIAL STATEMENTS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bookmarkStart w:id="4" w:name="consolidated_balance_sheets"/>
      <w:bookmarkEnd w:id="4"/>
      <w:r>
        <w:rPr>
          <w:rFonts w:ascii="Times New Roman" w:hAnsi="Times New Roman"/>
          <w:b/>
          <w:color w:val="000000"/>
          <w:sz w:val="22"/>
        </w:rPr>
        <w:t>Condensed Consolidated Balance Sheets</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6790"/>
        <w:gridCol w:w="146"/>
        <w:gridCol w:w="227"/>
        <w:gridCol w:w="909"/>
        <w:gridCol w:w="166"/>
        <w:gridCol w:w="146"/>
        <w:gridCol w:w="262"/>
        <w:gridCol w:w="1045"/>
        <w:gridCol w:w="514"/>
      </w:tblGrid>
      <w:tr>
        <w:trPr/>
        <w:tc>
          <w:tcPr>
            <w:tcW w:w="6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 for credit losses of $3,031 and $3,069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97,769</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111,812</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par value of $0.0001 per share, 10,000,000 shares authorized; none issued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of $0.0001 per share, 850,000,000 shares authorized; 16,455,751 and 15,537,344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stock, at cost; 1,076,257 shares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384,648</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(427,318</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(42,958</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111,812</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bookmarkStart w:id="5" w:name="consolidated_statements_of_operations"/>
      <w:bookmarkEnd w:id="5"/>
      <w:r>
        <w:rPr>
          <w:rFonts w:ascii="Times New Roman" w:hAnsi="Times New Roman"/>
          <w:b/>
          <w:color w:val="000000"/>
          <w:sz w:val="22"/>
        </w:rPr>
        <w:t>Condensed Consolidated Statements of Comprehensive Results of Operations</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4064"/>
        <w:gridCol w:w="146"/>
        <w:gridCol w:w="196"/>
        <w:gridCol w:w="916"/>
        <w:gridCol w:w="166"/>
        <w:gridCol w:w="146"/>
        <w:gridCol w:w="196"/>
        <w:gridCol w:w="916"/>
        <w:gridCol w:w="166"/>
        <w:gridCol w:w="146"/>
        <w:gridCol w:w="196"/>
        <w:gridCol w:w="916"/>
        <w:gridCol w:w="166"/>
        <w:gridCol w:w="146"/>
        <w:gridCol w:w="196"/>
        <w:gridCol w:w="916"/>
        <w:gridCol w:w="611"/>
      </w:tblGrid>
      <w:tr>
        <w:trPr/>
        <w:tc>
          <w:tcPr>
            <w:tcW w:w="4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Atlas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6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6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16,048,941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13,098,825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15,809,947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12,948,189</w:t>
            </w:r>
          </w:p>
        </w:tc>
        <w:tc>
          <w:tcPr>
            <w:tcW w:w="6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16,048,941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13,098,825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22,635,642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12,948,189</w:t>
            </w:r>
          </w:p>
        </w:tc>
        <w:tc>
          <w:tcPr>
            <w:tcW w:w="6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bookmarkStart w:id="6" w:name="consolidated_statements_of_se"/>
      <w:bookmarkEnd w:id="6"/>
      <w:r>
        <w:rPr>
          <w:rFonts w:ascii="Times New Roman" w:hAnsi="Times New Roman"/>
          <w:b/>
          <w:color w:val="000000"/>
          <w:sz w:val="22"/>
        </w:rPr>
        <w:t>Condensed Consolidated Statements of Changes in Stockholders’ Equity (Deficit)</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the three and six months ended June 30, 2026:</w:t>
      </w:r>
    </w:p>
    <w:p>
      <w:pPr>
        <w:pStyle w:val="TextBody"/>
        <w:bidi w:val="0"/>
        <w:jc w:val="left"/>
        <w:rPr/>
      </w:pPr>
      <w:r>
        <w:rPr/>
        <w:t> </w:t>
      </w:r>
    </w:p>
    <w:tbl>
      <w:tblPr>
        <w:tblW w:w="12203" w:type="dxa"/>
        <w:jc w:val="left"/>
        <w:tblInd w:w="0" w:type="dxa"/>
        <w:tblLayout w:type="fixed"/>
        <w:tblCellMar>
          <w:top w:w="28" w:type="dxa"/>
          <w:left w:w="28" w:type="dxa"/>
          <w:bottom w:w="28" w:type="dxa"/>
          <w:right w:w="28" w:type="dxa"/>
        </w:tblCellMar>
      </w:tblPr>
      <w:tblGrid>
        <w:gridCol w:w="1106"/>
        <w:gridCol w:w="146"/>
        <w:gridCol w:w="160"/>
        <w:gridCol w:w="381"/>
        <w:gridCol w:w="146"/>
        <w:gridCol w:w="146"/>
        <w:gridCol w:w="216"/>
        <w:gridCol w:w="415"/>
        <w:gridCol w:w="146"/>
        <w:gridCol w:w="146"/>
        <w:gridCol w:w="146"/>
        <w:gridCol w:w="796"/>
        <w:gridCol w:w="146"/>
        <w:gridCol w:w="146"/>
        <w:gridCol w:w="216"/>
        <w:gridCol w:w="415"/>
        <w:gridCol w:w="146"/>
        <w:gridCol w:w="146"/>
        <w:gridCol w:w="146"/>
        <w:gridCol w:w="721"/>
        <w:gridCol w:w="146"/>
        <w:gridCol w:w="146"/>
        <w:gridCol w:w="216"/>
        <w:gridCol w:w="415"/>
        <w:gridCol w:w="146"/>
        <w:gridCol w:w="146"/>
        <w:gridCol w:w="187"/>
        <w:gridCol w:w="624"/>
        <w:gridCol w:w="151"/>
        <w:gridCol w:w="146"/>
        <w:gridCol w:w="341"/>
        <w:gridCol w:w="710"/>
        <w:gridCol w:w="151"/>
        <w:gridCol w:w="146"/>
        <w:gridCol w:w="207"/>
        <w:gridCol w:w="739"/>
        <w:gridCol w:w="151"/>
        <w:gridCol w:w="146"/>
        <w:gridCol w:w="231"/>
        <w:gridCol w:w="730"/>
        <w:gridCol w:w="296"/>
      </w:tblGrid>
      <w:tr>
        <w:trPr/>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 except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deficit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15,537,344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384,648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(42,958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Shares issued during the period for 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Sale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32,599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15,818,330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388,759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(394,719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Shares issued during the period for 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Sale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(27,124</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16,455,751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(421,843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(30,346</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Changes in Stockholders’ Equity (Deficit) (Continued)</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the three and six months ended June 30, 2025:</w:t>
      </w:r>
    </w:p>
    <w:p>
      <w:pPr>
        <w:pStyle w:val="TextBody"/>
        <w:bidi w:val="0"/>
        <w:jc w:val="left"/>
        <w:rPr/>
      </w:pPr>
      <w:r>
        <w:rPr/>
        <w:t> </w:t>
      </w:r>
    </w:p>
    <w:tbl>
      <w:tblPr>
        <w:tblW w:w="12198" w:type="dxa"/>
        <w:jc w:val="left"/>
        <w:tblInd w:w="0" w:type="dxa"/>
        <w:tblLayout w:type="fixed"/>
        <w:tblCellMar>
          <w:top w:w="28" w:type="dxa"/>
          <w:left w:w="28" w:type="dxa"/>
          <w:bottom w:w="28" w:type="dxa"/>
          <w:right w:w="28" w:type="dxa"/>
        </w:tblCellMar>
      </w:tblPr>
      <w:tblGrid>
        <w:gridCol w:w="1106"/>
        <w:gridCol w:w="146"/>
        <w:gridCol w:w="160"/>
        <w:gridCol w:w="381"/>
        <w:gridCol w:w="146"/>
        <w:gridCol w:w="146"/>
        <w:gridCol w:w="216"/>
        <w:gridCol w:w="415"/>
        <w:gridCol w:w="146"/>
        <w:gridCol w:w="146"/>
        <w:gridCol w:w="146"/>
        <w:gridCol w:w="796"/>
        <w:gridCol w:w="146"/>
        <w:gridCol w:w="146"/>
        <w:gridCol w:w="216"/>
        <w:gridCol w:w="415"/>
        <w:gridCol w:w="146"/>
        <w:gridCol w:w="146"/>
        <w:gridCol w:w="146"/>
        <w:gridCol w:w="721"/>
        <w:gridCol w:w="146"/>
        <w:gridCol w:w="146"/>
        <w:gridCol w:w="216"/>
        <w:gridCol w:w="415"/>
        <w:gridCol w:w="146"/>
        <w:gridCol w:w="146"/>
        <w:gridCol w:w="187"/>
        <w:gridCol w:w="624"/>
        <w:gridCol w:w="146"/>
        <w:gridCol w:w="146"/>
        <w:gridCol w:w="341"/>
        <w:gridCol w:w="710"/>
        <w:gridCol w:w="151"/>
        <w:gridCol w:w="146"/>
        <w:gridCol w:w="207"/>
        <w:gridCol w:w="739"/>
        <w:gridCol w:w="151"/>
        <w:gridCol w:w="146"/>
        <w:gridCol w:w="231"/>
        <w:gridCol w:w="730"/>
        <w:gridCol w:w="296"/>
      </w:tblGrid>
      <w:tr>
        <w:trPr/>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 except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12,853,823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367,318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19,036</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Shares issued during the period for 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(3,819</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13,068,309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(351,560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15,528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Shares issued during the period for 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(15,430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14,872,017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(366,990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9,042</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bookmarkStart w:id="7" w:name="consolidated_statements_of_cash_flows"/>
      <w:bookmarkEnd w:id="7"/>
      <w:r>
        <w:rPr>
          <w:rFonts w:ascii="Times New Roman" w:hAnsi="Times New Roman"/>
          <w:b/>
          <w:color w:val="000000"/>
          <w:sz w:val="22"/>
        </w:rPr>
        <w:t>Condensed Consolidated Statements of Cash Flows</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(unaudited)</w:t>
      </w:r>
    </w:p>
    <w:tbl>
      <w:tblPr>
        <w:tblW w:w="9154" w:type="dxa"/>
        <w:jc w:val="left"/>
        <w:tblInd w:w="0" w:type="dxa"/>
        <w:tblLayout w:type="fixed"/>
        <w:tblCellMar>
          <w:top w:w="28" w:type="dxa"/>
          <w:left w:w="28" w:type="dxa"/>
          <w:bottom w:w="28" w:type="dxa"/>
          <w:right w:w="28" w:type="dxa"/>
        </w:tblCellMar>
      </w:tblPr>
      <w:tblGrid>
        <w:gridCol w:w="6471"/>
        <w:gridCol w:w="146"/>
        <w:gridCol w:w="196"/>
        <w:gridCol w:w="661"/>
        <w:gridCol w:w="166"/>
        <w:gridCol w:w="146"/>
        <w:gridCol w:w="196"/>
        <w:gridCol w:w="661"/>
        <w:gridCol w:w="511"/>
      </w:tblGrid>
      <w:tr>
        <w:trPr/>
        <w:tc>
          <w:tcPr>
            <w:tcW w:w="6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discount and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Paid-in-kind non-cash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obsolete and slow-moving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Atlas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Warranties issued and remediation added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Warranty recoverable from manufacturer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Credit loss provisions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on cash from 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Accruals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payments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Atlas software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offering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 included in ending accounts payable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common stock issued upon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 and lease liability recognition for new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Paid-in-kind and exit fee non-cash interest added to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FTC Solar, Inc.</w:t>
      </w:r>
    </w:p>
    <w:p>
      <w:pPr>
        <w:pStyle w:val="TextBody"/>
        <w:bidi w:val="0"/>
        <w:jc w:val="center"/>
        <w:rPr>
          <w:rFonts w:ascii="Times New Roman" w:hAnsi="Times New Roman"/>
          <w:b/>
          <w:color w:val="000000"/>
          <w:sz w:val="22"/>
        </w:rPr>
      </w:pPr>
      <w:bookmarkStart w:id="8" w:name="notes_to_consolidated_financial_stmts"/>
      <w:bookmarkEnd w:id="8"/>
      <w:r>
        <w:rPr>
          <w:rFonts w:ascii="Times New Roman" w:hAnsi="Times New Roman"/>
          <w:b/>
          <w:color w:val="000000"/>
          <w:sz w:val="22"/>
        </w:rPr>
        <w:t>Notes to Condensed Consolidated Financial Statements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results of the Company and its wholly owned subsidiaries and have been prepared based on the assumption that the Company will continue as a going concern and are in accordance with accounting principles generally accepted in the United States of America (“U.S. GAAP”) for interim financial statements and pursuant to Form 10-Q and Article 10 of Regulation S-X. As discussed further in "Liquidity and Going Concern" below, given the Company's current cash balances, subject to required reductions in the principal amount of our outstanding debt and required compliance with certain financial covenants during the remainder of 2026, as well as recurring operating losses and cash outflows from operations, management has concluded that there is substantial doubt about the Company's ability to continue as a going concern during the next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management, all adjustments of a normal recurring nature have been made that are considered necessary for a fair statement of our financial position as of June 30, 2026 and December 31, 2025, and our results of operations for the three and six months ended June 30, 2026 and cash flows for the six months ended June 30, 2026 and 2025. The Condensed Consolidated Balance Sheet as of December 31, 2025 has been derived from the Company’s audited Consolidated Financial Statements but does not include all disclosures required by U.S. GAAP. Operating results for the three and six months ended June 30, 2026 are not necessarily indicative of the results that may be expected for the year ending December 31, 2026. Intercompany balances and transactions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information and disclosures normally included in the notes to our annual Consolidated Financial Statements prepared in accordance with U.S. GAAP have been omitted from these interim Condensed Consolidated Financial Statements pursuant to the rules and regulations of the Securities and Exchange Commission (the “SEC”). Therefore, these unaudited Condensed Consolidated Financial Statements should be read in conjunction with the Consolidated Financial Statements and related notes included in the Company’s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operate in one business segment, the manufacturing and servicing of solar tracker systems. See Note 17, "Segment information" below for further discussion.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cumulative operating losses since inception and have a history of cash outflows from operations, inclusive of $4.5 million in cash utilized in our operating activities during the six months ended June 30, 2026. As of June 30, 2026, we had unrestricted cash on hand of $10.1 million, a working capital deficit of $7.9 million and stockholders' deficit of $30.3 million.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Second Amendment to Credit Agreement, failure to meet cash and direct tracker margin covenants and Limited Waiver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further in Note 11, "Debt", on March 23, 2026, we entered into a Second Amendment and Limited Waiver to our Credit Agreement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noted above, 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On August 4, 2026, we entered into a Limited Waiver and Limited Consent to Credit Agreement (the "Waiver")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this Quarterly Report. Accordingly, we have classified all outstanding debt under our Credit Agreement as a current obligation as of June 30, 2026. Should future actual results, including near-term operating and capital raising activities prove to be sufficient, we will reconsider the classification of our debt when appropriate.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Equity Line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further in Note 18, "Subsequent events" below, effective August 4, 2026, we entered into a Purchase Agreement with Lincoln Park Capital Fund, LLC (“Lincoln Park”) to establish an equity line of credit of up to $20.0 million (the “Purchase Agreement”). Pursuant to the Purchase Agreement, Lincoln Park committed to purchase, at our direction from time to time, up to an aggregate of $20.0 million of our common stock, subject to the terms, conditions and limitations set forth in the Purchase Agreement. We also entered into a registration rights agreement with Lincoln Park (the “Registration Rights Agreement”), pursuant to which we agreed to file with the SEC a registration statement covering the resale by Lincoln Park of the shares of common stock that have been and may be issued and sold to Lincoln Park under the Purchase Agreement and to take such other actions as are reasonably necessary to maintain the effectiveness of such registration statement as provided in the Registration Rights Agreement.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Payments for acquisition of Alpha Steel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June 30, 2026, we had a remaining required payment of approximately $1.1 million due to the Selling Members, plus accrued interest, which we paid during August 2026. The Acquisition Notes were secured by all of Alpha Steel's assets, provided, however, the security interests granted to each of the Selling Members under the Acquisition Notes were subordinate and junior to the security interests in favor of the Lenders under the Credit Agreement.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Conclusion of substantial doubt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view of the requirements for quarterly cash interest payments, a specified prepayment of principal under the Credit Agreement, and principal and interest payments for the Acquisition Notes, as well as our history of operating losses and cash outflows, and considering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the availability of additional financing provided by the Credit Agreement in the form of Second Delayed Draw Term Loans or full utilization of the equity line of credit is not completely within our control, we believe these factors create uncertainty as to our ability to fully meet the financial covenant requirements under the Credit Agreement during the twelve months following issuance of this Quarterly Report. Therefore, we have concluded that substantial doubt exists as to our ability to continue as a going concern within the next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meet our liquidity needs over the next year is dependent upon (i) our unrestricted cash on hand (subject to (x) a required principal repayment of $5.0 million on September 30, 2026, under the Credit Agreement, as well as principal and interest payments due for the Acquisition Notes, and (y) a $10.0 million minimum unrestricted cash covenant under the Credit Agreement effective for the quarter ending September 30, 2026, and each quarter thereafter, and our compliance with all other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subject to approval by the Lenders in their sole discretion, and (iv) our ability to raise additional capital through the equity line of credit or other securities offerings. In addition, we continue to remain focused on implementing additional cost savings steps, which could impact, among other things, the size and location of our headcount and the level of services currently provided by third parties.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pStyle w:val="TextBody"/>
        <w:bidi w:val="0"/>
        <w:spacing w:before="240" w:after="20"/>
        <w:jc w:val="both"/>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are primarily cash and accounts receivable.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extend credit to customers in the normal course of business, often without requiring collateral. We also perform credit analyses and monitor the financial health of our customers to reduce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from revenue earned from customers primarily located in the United States and Australia. For the periods included in this Quarterly Report, no company locations other than in the United States and Australia accounted for more than 10% of our consolidated revenue. Most of our customers are project developers, solar asset owners and EPC contractors that design and build solar energy projects. We typically rely on a small number of customers that account for a large portion of our revenue each period and our outstanding receivables at each period end.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all highly liquid investments purchased with an original maturity of three months or less to be cash equivalents. Certain of our cash equivalents include deposits in money market funds that invest primarily in short-term securities issued or guaranteed by the U.S. government or its agencies or instrumentalities and contain no restrictions on immediate redemption. These deposits totaled nearly $0.6 million at June 30, 2026 and over $0.5 million at December 31, 2025. Interest earned on cash equivalents is included in interest income in our Condensed Consolidated Statements of Comprehensive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9" w:name="accounts_receivable_policy"/>
      <w:bookmarkEnd w:id="9"/>
      <w:r>
        <w:rPr>
          <w:rFonts w:ascii="Times New Roman" w:hAnsi="Times New Roman"/>
          <w:b/>
          <w:color w:val="000000"/>
          <w:sz w:val="20"/>
        </w:rPr>
        <w:t>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receivables are recorded at invoiced amounts, net of allowances for credit losses, and do not bear interest. We generally do not require collateral from our customers; however, in certain circumstances, we may require letters of credit, other collateral, additional guarantees or advance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Provisions for credit losses are included as a component of our selling and marketing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Receivables arising from revenue recognized in excess of billings represent our unconditional right to consideration before customers are invoiced due to the level of progress obtained as of period end on our contracts to procure and deliver tracker systems and related equipment. Further information may be found below in our revenue recognition policy.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Inventories are stated at the lower of cost or net realizable value, with costs computed on a first-in, first-out basis. The Company periodically reviews its inventories for excess and obsolete items and adjusts carrying costs to estimated net realizable values when they are determined to be less than cost. </w:t>
      </w:r>
    </w:p>
    <w:p>
      <w:pPr>
        <w:pStyle w:val="TextBody"/>
        <w:bidi w:val="0"/>
        <w:spacing w:before="240" w:after="283"/>
        <w:jc w:val="both"/>
        <w:rPr>
          <w:rFonts w:ascii="Times New Roman" w:hAnsi="Times New Roman"/>
          <w:b/>
          <w:color w:val="000000"/>
          <w:sz w:val="20"/>
        </w:rPr>
      </w:pPr>
      <w:bookmarkStart w:id="10" w:name="impairment_policy"/>
      <w:bookmarkEnd w:id="10"/>
      <w:r>
        <w:rPr>
          <w:rFonts w:ascii="Times New Roman" w:hAnsi="Times New Roman"/>
          <w:b/>
          <w:color w:val="000000"/>
          <w:sz w:val="20"/>
        </w:rPr>
        <w:t>Impairment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review our long-lived assets that are held for use for impairment whenever events or changes in circumstances indicate that the carrying amount of the asset may not be recoverable or that its useful life may be shorter than previously expected. If such impairment indicators are present or other factors exist that indicate the carrying amount of the asset may not be recoverable, we determine whether an impairment has occurred through the use of an undiscounted cash flow analysis of the asset at the lowest level for which identifiable cash flows exist. If an impairment has occurred, we recognize a loss for the difference between the carrying amount and the fair value of the asset, which in most cases is estimated based upon Level 3 unobservable inputs. If the asset is determined to have a remaining useful life shorter than previously expected, an adjustment for the shorter remaining life will be made for purposes of recognizing future depreciation expense. Assets are classified as held for sale when we have a plan, approved by the appropriate levels of management, for disposal of such assets, as well as other considerations, and those assets are stated at the lower of carrying value or estimated fair value less estimated costs to sell.</w:t>
      </w:r>
    </w:p>
    <w:p>
      <w:pPr>
        <w:pStyle w:val="TextBody"/>
        <w:bidi w:val="0"/>
        <w:spacing w:before="240" w:after="283"/>
        <w:jc w:val="both"/>
        <w:rPr>
          <w:rFonts w:ascii="Times New Roman" w:hAnsi="Times New Roman"/>
          <w:b/>
          <w:color w:val="000000"/>
          <w:sz w:val="20"/>
        </w:rPr>
      </w:pPr>
      <w:bookmarkStart w:id="11" w:name="goodwill_policy"/>
      <w:bookmarkEnd w:id="11"/>
      <w:r>
        <w:rPr>
          <w:rFonts w:ascii="Times New Roman" w:hAnsi="Times New Roman"/>
          <w:b/>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goodwill as the excess of the purchase price over the estimated fair value of the identified assets and liabilities acquired in a business combination accounted for using the acquisition method. Goodwill is not amortized but is subject to a periodic assessment for impairment at least annually, or whenever events and circumstances indicate an impairment may exist. Our assessments may include qualitative factors such as current or expected industry and market conditions, our overall financial performance, share price trends, market capitalization and other company-specific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in one segment, being the consolidated entity, which we have also determined is the reporting unit for goodwill impairment.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impairment of goodwill was recognized as of June 30, 2026 or during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Deferred debt discount and issue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Legal, consulting, accounting and other fees that are incremental and directly related to issuances of long-term debt, including any discounts on the debt, are capitalized and reflected as a reduction to the principal amount of our outstanding debt. These costs are amortized to interest expense over the term of the debt using the interest method.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2" w:name="warrants_policy"/>
      <w:bookmarkEnd w:id="12"/>
      <w:r>
        <w:rPr>
          <w:rFonts w:ascii="Times New Roman" w:hAnsi="Times New Roman"/>
          <w:b/>
          <w:color w:val="000000"/>
          <w:sz w:val="20"/>
        </w:rPr>
        <w:t>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Warrants issued for the purchase of our common stock are evaluated for liability or equity classification and recorded at fair value upon issuance. Fair value may be determined using a Black-Scholes model or other valuation technique depending on the terms of the warrants, based primarily on Level 2 inputs. Warrants containing clauses that could require settlement in cash or with other assets are reflected as liabilities whereas warrants that may only be settled with the issuance of our common stock are reflected as a component of our equity. Warrants classified as liabilities are adjusted to current fair value at the end of each reporting period with changes reflected in our results of operations. Legal, consulting, accounting and other fees that are incremental and directly related to the issuance of warrants are expensed as incurred for warrants classified as liabilities or shown as a reduction to the value of our warrants as reflected in our equity. </w:t>
      </w:r>
    </w:p>
    <w:p>
      <w:pPr>
        <w:pStyle w:val="TextBody"/>
        <w:bidi w:val="0"/>
        <w:spacing w:before="240" w:after="283"/>
        <w:jc w:val="both"/>
        <w:rPr>
          <w:rFonts w:ascii="Times New Roman" w:hAnsi="Times New Roman"/>
          <w:b/>
          <w:color w:val="000000"/>
          <w:sz w:val="20"/>
        </w:rPr>
      </w:pPr>
      <w:bookmarkStart w:id="13" w:name="warranty_policy"/>
      <w:bookmarkEnd w:id="13"/>
      <w:r>
        <w:rPr>
          <w:rFonts w:ascii="Times New Roman" w:hAnsi="Times New Roman"/>
          <w:b/>
          <w:color w:val="000000"/>
          <w:sz w:val="20"/>
        </w:rPr>
        <w:t>Warranty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Typically, the sale of solar tracker projects includes parts warranties to customers as part of the overall price of the product. We provide standard assurance type warranties for our products for periods generally ranging from five to ten years. We also accrue for costs relating to remediation efforts involving product issues we believe require correction. We record a provision for estimated warranty and remediation expenses in cost of sales, net of amounts recoverable from manufacturers under their warranty obligations to us. When historical claims information relating to our equipment is not sufficient, we will base our estimates on industry studies involving the nature and frequency of product failure rates for similar parts used by our competitors, as well as other related businesses. We do not maintain general or unspecified reserves; all warranty reserves are related to specific projects. All actual or estimated material costs incurred for warranty or remediation services in subsequent periods are charged to those established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periodically monitor our warranty activities and claims, if actual costs incurred were to be different from our estimates, we would recognize adjustments to our warranty reserves in the period in which those differences arise or are identified.</w:t>
      </w:r>
    </w:p>
    <w:p>
      <w:pPr>
        <w:pStyle w:val="TextBody"/>
        <w:bidi w:val="0"/>
        <w:spacing w:before="240" w:after="283"/>
        <w:jc w:val="both"/>
        <w:rPr>
          <w:rFonts w:ascii="Times New Roman" w:hAnsi="Times New Roman"/>
          <w:b/>
          <w:color w:val="000000"/>
          <w:sz w:val="20"/>
        </w:rPr>
      </w:pPr>
      <w:bookmarkStart w:id="14" w:name="stock_based_compensation_policy"/>
      <w:bookmarkEnd w:id="14"/>
      <w:r>
        <w:rPr>
          <w:rFonts w:ascii="Times New Roman" w:hAnsi="Times New Roman"/>
          <w:b/>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compensation expense for all share-based payment awards made, including stock options and restricted stock units ("RSUs"), based on the estimated fair value of the award on the grant date. We calculate the fair value of stock options using the Black-Scholes option pricing model for awards with service-based vesting or through use of a lattice model or a Monte Carlo simulation for stock options and RSU awards with market conditions. The fair value of RSUs with only service or performance-based vesting is based on the estimated fair value of the Company's common stock on the date of grant. We consider the closing price of our stock, as reported on Nasdaq, to be the fair value of our stock on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Forfeitures are accounted for as they occur. For service-based awards, stock-based compensation is recognized using the straight-line attribution approach over the requisite service period. For performance-based awards, stock-based compensation is recognized based on graded vesting over the requisite service period when the performance condition is probable of being achieved. Stock compensation expense for market-based awards is recognized over the derived service period determined in the valuation model, inclusive of any vesting conditions.</w:t>
      </w:r>
    </w:p>
    <w:p>
      <w:pPr>
        <w:pStyle w:val="TextBody"/>
        <w:bidi w:val="0"/>
        <w:spacing w:before="240" w:after="283"/>
        <w:jc w:val="both"/>
        <w:rPr>
          <w:rFonts w:ascii="Times New Roman" w:hAnsi="Times New Roman"/>
          <w:b/>
          <w:color w:val="000000"/>
          <w:sz w:val="20"/>
        </w:rPr>
      </w:pPr>
      <w:bookmarkStart w:id="15" w:name="revenue_policy"/>
      <w:bookmarkEnd w:id="15"/>
      <w:r>
        <w:rPr>
          <w:rFonts w:ascii="Times New Roman" w:hAnsi="Times New Roman"/>
          <w:b/>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is derived from the sale of solar tracker systems and customized components for those systems, individual part sales for certain specific transactions and the sale of term-based software licenses. Term-based licensed software is deployed on the customers’ own servers and has significant standalone functionality.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revenue includes revenue from shipping and handling services, engineering consulting and pile testing services, our subscription-based enterprise licensing model and maintenance and support services in connection with the term-based software licenses. Our subscription-based enterprise licensing model typically has contract terms ranging from one to two years and consists of subscription fees from the licensing of subscription services. Our hosted on-demand service arrangements do not provide customers with the right to take possession of the software supporting the hosted services. Support services include ongoing security updates, upgrades, bug fixes, and maintenance.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revenue when promised goods or services are transferred to customers in an amount that reflects the consideration to which we expect to be entitled to in exchange for those goods or services by following a five-step process: (1) identify the contract with a customer, (2) identify the performance obligations in the contract, (3) determine the transaction price, (4) allocate the transaction price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performance obligations in the contract, and (5) recognize revenue when or as the Company satisfies a performance obligation, as further described below.</w:t>
      </w:r>
    </w:p>
    <w:p>
      <w:pPr>
        <w:pStyle w:val="TextBody"/>
        <w:bidi w:val="0"/>
        <w:spacing w:before="240" w:after="283"/>
        <w:jc w:val="both"/>
        <w:rPr>
          <w:rFonts w:ascii="Times New Roman" w:hAnsi="Times New Roman"/>
          <w:sz w:val="20"/>
        </w:rPr>
      </w:pPr>
      <w:r>
        <w:rPr>
          <w:rFonts w:ascii="Times New Roman" w:hAnsi="Times New Roman"/>
          <w:i/>
          <w:color w:val="000000"/>
          <w:sz w:val="20"/>
        </w:rPr>
        <w:t>Identify the contract with a customer:</w:t>
      </w:r>
      <w:r>
        <w:rPr>
          <w:rFonts w:ascii="Times New Roman" w:hAnsi="Times New Roman"/>
          <w:color w:val="000000"/>
          <w:sz w:val="20"/>
        </w:rPr>
        <w:t xml:space="preserve"> 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In assessing the recognition of revenue, we also evaluate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We analyze change orders to determine if they should be accounted for as a modification to an existing contract or a new stand-alone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Contracts we enter into with our customers for sale of solar tracker systems are generally under two different types of arrangements: (1) purchase agreements and equipment supply contracts (“Purchase Agreements”), and (2) sale of individual parts for those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 orders from our customers that are deemed to be modifications to existing contracts are included in the total estimated contract revenue when it is probable that the change order will result in additional value that can be reliably estimated and realized.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Identify the performance obligations in the contract: </w:t>
      </w:r>
      <w:r>
        <w:rPr>
          <w:rFonts w:ascii="Times New Roman" w:hAnsi="Times New Roman"/>
          <w:color w:val="000000"/>
          <w:sz w:val="20"/>
        </w:rPr>
        <w:t>We enter into contracts that can include various combinations of products and services, which are either capable of being distinct and accounted for as separate performance obligations or as one performance obligation since the majority of tasks and services are part of a single project or capability. However, determining whether products or services are considered distinct performance obligations that should be accounted for separately versus together may sometimes require significant judgment.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Purchase Agreements typically include two performance obligations: 1) our solar tracker systems or customized components of those systems, and 2) shipping and handling services. The deliverables included as part of our solar tracker systems are predominantly accounted for as one performance obligation, as these deliverables are part of a combined promise to deliver a project.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for shipping and handling services will be recognized over time based on progress in meeting shipping terms of the arrangements, as this faithfully depicts the Company’s performance in transferring control. Revenue for stand-alone engineering consulting and pile testing services is recognized at a point in time upon completion of the services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individual parts of our solar tracker systems for certain specific transactions include multiple performance obligations consisting of individual parts of those systems. Revenue is recognized for parts sales at a point in time when the obligations under the terms of the contract with our customer are satisfied. Generally, this occurs with the transfer of control of the asset, which is in line with shipping terms.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Determine the transaction price: </w:t>
      </w:r>
      <w:r>
        <w:rPr>
          <w:rFonts w:ascii="Times New Roman" w:hAnsi="Times New Roman"/>
          <w:color w:val="000000"/>
          <w:sz w:val="20"/>
        </w:rPr>
        <w:t>The transaction price is determined based on the consideration to which we will be entitled in exchange for transferring services to the customer. Such amounts are typically stated in the customer contract, and to the extent that we identify variable consideration, we will estimate the variable consideration at the onset of the arrangement as long as it is probable that a significant reversal in the amount of cumulative revenue recognized will not occur when the uncertainty associated with the variable consideration is subsequently resolved. Other than with respect to the impact of changes in tariff rates, the majority of our contracts do not contain variable consideration provisions as a continuation of the original contract. None of our contracts contain a significant financing component. Taxes collected from customers and remitted to governmental authorities are not included in revenue.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Allocate the transaction price to performance obligations in the contract: </w:t>
      </w:r>
      <w:r>
        <w:rPr>
          <w:rFonts w:ascii="Times New Roman" w:hAnsi="Times New Roman"/>
          <w:color w:val="000000"/>
          <w:sz w:val="20"/>
        </w:rPr>
        <w:t>Once we have determined the transaction price, we allocate the total transaction price to each performance obligation in a manner depicting the amount of consideration to which we expect to be entitled in exchange for transferring the good(s) or service(s) to the customer. We allocate the transaction price to each performance obligation identified in the contract on a relative standalone selling price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the expected cost-plus margin approach based on hardware, labor, and related overhead cost to estimate the standalone selling price of our solar tracker systems, customized components of those systems, and individual parts for certain specific transactions. We also use the expected cost-plus margin approach based on expected third-party shipping and transportation costs to estimate the standalone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price of our shipping, handling and logistics performance obligations. We use the adjusted market assessment approach for all other performance obligations.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Recognize revenue when or as the Company satisfies a performance obligation: </w:t>
      </w:r>
      <w:r>
        <w:rPr>
          <w:rFonts w:ascii="Times New Roman" w:hAnsi="Times New Roman"/>
          <w:color w:val="000000"/>
          <w:sz w:val="20"/>
        </w:rPr>
        <w:t>For each performance obligation identified, we determine at contract inception whether we satisfy the performance obligation over time or at a point in time. The performance obligations in the contracts for our solar tracker systems and customized components of those systems are satisfied over time as work progresses, utilizing an input measure of progress determined by cost-to-cost measures on these projects as this faithfully depicts our performance in transferring control. Additionally, our performance does not create an asset with an alternative use, due to the highly customized nature of the product, and we have an enforceable right to payment for performance completed to date. Our performance obligations for individual part sales for certain specific transactions are recognized at a point in time as and when control transfers based on the terms for the contract. Our performance obligations for engineering consulting and pile testing services are recognized at a point in time upon completion of the services. Our performance obligations for term-based software licenses are recognized at a point in time as and when control transfers, either upon delivery to the customer or the software license start date, whichever is later. Our performance obligations for shipping and handling services are satisfied over time as the services are delivered over the term of the contract. We recognize revenue for subscription and other services on a straight-line basis over the contract period. With regard to support revenue, a time-elapsed method is used to measure progress because we transfer control evenly over the contractual period. Accordingly, the fixed consideration related to support revenue is generally recognized on a straight-line basis over the contract term.</w:t>
      </w:r>
    </w:p>
    <w:p>
      <w:pPr>
        <w:pStyle w:val="TextBody"/>
        <w:bidi w:val="0"/>
        <w:spacing w:before="240" w:after="283"/>
        <w:jc w:val="both"/>
        <w:rPr>
          <w:rFonts w:ascii="Times New Roman" w:hAnsi="Times New Roman"/>
          <w:sz w:val="20"/>
        </w:rPr>
      </w:pPr>
      <w:r>
        <w:rPr>
          <w:rFonts w:ascii="Times New Roman" w:hAnsi="Times New Roman"/>
          <w:i/>
          <w:color w:val="000000"/>
          <w:sz w:val="20"/>
        </w:rPr>
        <w:t>Impact of changes in tariffs on our revenue recognition:</w:t>
      </w:r>
      <w:r>
        <w:rPr>
          <w:rFonts w:ascii="Times New Roman" w:hAnsi="Times New Roman"/>
          <w:color w:val="000000"/>
          <w:sz w:val="20"/>
        </w:rPr>
        <w:t xml:space="preserve"> In cases where our existing contracts have legally enforceable terms that allow us to pass the increased cost of tariffs to our customers automatically, any change in the transaction price will be accounted for as a change in our estimate of variable consideration and allocated to our performance obligations on the same basis as our initial allocation at contract inception. Where price changes resulting from tariffs need to be separately negotiated and agreed to with our customers, we will apply contract modification guidance once the modification is enforceable. We will also take into account tariff rates in effect at each period end in measuring our progress toward satisfaction of our performance obligations in recognizing revenue.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Contract assets and liabilities: </w:t>
      </w:r>
      <w:r>
        <w:rPr>
          <w:rFonts w:ascii="Times New Roman" w:hAnsi="Times New Roman"/>
          <w:color w:val="000000"/>
          <w:sz w:val="20"/>
        </w:rPr>
        <w:t>The timing of revenue recognition, billing, and cash collection results in the recognition of accounts receivable, unbilled receivables for revenue recognized in excess of billings, and deferred revenue in the Condensed Consolidated Balance Sheets. We have elected to use the practical expedient of expensing incremental costs of obtaining a contract for our contracts of less than one year in duration. We may receive advances or deposits from our customers before revenue is recognized, resulting in contract liabilities, which are reflected as “deferred revenue” in our Condensed Consolidated Balance Sheets. Customer deposits are short term as the related performance obligations are typically fulfilled within 12 months. Changes in deferred revenue relate to fluctuations in the timing of customer deposits and completion of performance obligations. Approximately $0.5 million and $4.9 million of revenue was recognized during the three and six months ended June 30, 2026, respectively, from amounts included in deferred revenue at December 31, 2025, which totaled approximately $7.2 million. Approximately $1.2 million and $5.3 million of revenue was recognized during the three and six months ended June 30, 2025, respectively, from amounts included in deferred revenue at December 31, 2024, which totaled $5.3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 Cost of revenue owed but not yet paid is recorded as accrued cost of revenue in the accompanying Condensed Consolidated Balance Sheets. Deferred cost of revenue, a component of our prepaid and other current assets, results from the timing differences between the costs incurred in advance of the satisfaction of all revenue recognition criteria consistent with our revenue recognition policy.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Inflation Reduction Act of 2022 (“IRA”)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IRA was enacted into law on August 16, 2022, and provides for various clean energy credits, including Advanced Manufacturing Production Credits under Section 45X (“45X Credits”) for eligible parts, including torque tubes and structural fasteners. We receive the benefit of the 45X Credits earned by our wholly owned subsidiary Alpha Steel as products are manufactured. Utilizing guidance in IAS 20, Accounting for Government Grants and Disclosure of Government Assistance, we recognize the benefits of these reductions as they are earned during the manufacturing process and reflect them as other receivables, as we frequently monetize the amounts due, and as a reduction in our cost of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President Trump signed into law the One Big Beautiful Bill Act, which accelerated the phase-out and termination of various eligible federal tax credits enacted as part of the IRA.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Accounting standards adopted in current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January 1, 2026, we adopted on a prospective basis Accounting Standards Update ("ASU") 2025-05, Financial Instruments - Credit Losses (Topic 326). In connection with the adoption of this new standard, we elected to utilize the practical expedient to assume that current conditions as of the balance sheet date will persist through a reasonable and supportable forecast period when adjusting historical data to be used in the estimation of credit losses. There was no material impact on the Company's financial condition or results of operations upon adoption.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ASU No. 2023-09 - Income Taxes (Topic 740): Improvements to Income Tax Disclosures ("ASU 2023-09"). ASU 2023-09 requires companies to disclose (i) additional categories of information about federal, state and foreign income taxes above a quantitative threshold in their rate reconciliation table and (ii) income taxes paid, net of refunds, disaggregated by federal, state and foreign taxes for annual periods, as well as other disclosure changes. As an emerging growth company, we are not required to adopt ASU 2023-09 prior to our annual reporting for the year ending December 31, 2026, although earlier adoption is permitted. We are currently evaluating the impact of ASU 2023-09 on our existing income tax disclosures and the method of adoption.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2024-03 - Income Statement - Reporting Comprehensive Income - Expense Disaggregation Disclosures (Subtopic 220-04). ASU 2024-03 requires companies to disclose additional specific information including, among other things, (a) purchases of inventory, (b) employee compensation, (c) depreciation, and (d) intangible asset amortization included in each of its expense captions disclosed on the face of its results of operations statement, as well as total selling expenses. As clarified in ASU 2025-01, we are currently required to adopt ASU 2024-03 for our annual reporting effective December 31, 2027 and in our quarterly reporting beginning in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2025, the FASB issued ASU 2025-04, Compensation - Stock Compensation (Topic 718) and Revenue from Contracts with Customers (Topic 606). This new guidance applies to all entities that issue share-based consideration to a customer that is within the scope of Topic 606. The guidance revises the definition of a performance condition to include conditions based on a customer's purchases and eliminates the policy election allowing grantors to account for forfeitures of customer awards as they occur. It also clarifies that the guidance on constraining estimates of variable consideration does not apply to share-based consideration payable to a customer. We are currently required to adopt this new standard on either a modified retrospective or a retrospective basis beginning in the first quarter of 2027. We are evaluating the impact, if any, on the Company upon adoption and have made no determination at this time regarding the method of adoption to be used.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FASB issued ASU 2025-10, Government Grants (Topic 832) ("ASU 2025-10"). This new guidance establishes the accounting for a government grant received by a business entity, including guidance for (i) a grant related to an asset and (ii) a grant related to income. The standard is effective for public business entities for annual reporting periods beginning after December 15, 2028 and, for other than public business entities, for annual reporting periods beginning after December 15, 2029. We are currently evaluating this standard in relation to our current accounting treatment of 45X Credits described above and are assessing the available transition methods for adopting this new standard.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standards that have been issued but not yet adopted as of June 30, 2026, are either not applicable to us or are not expected to have any material impact upon adoption.</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Accounts receivable, net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Accounts receivable consisted of the following:</w:t>
      </w:r>
    </w:p>
    <w:tbl>
      <w:tblPr>
        <w:tblW w:w="6945" w:type="dxa"/>
        <w:jc w:val="left"/>
        <w:tblInd w:w="0" w:type="dxa"/>
        <w:tblLayout w:type="fixed"/>
        <w:tblCellMar>
          <w:top w:w="28" w:type="dxa"/>
          <w:left w:w="28" w:type="dxa"/>
          <w:bottom w:w="28" w:type="dxa"/>
          <w:right w:w="28" w:type="dxa"/>
        </w:tblCellMar>
      </w:tblPr>
      <w:tblGrid>
        <w:gridCol w:w="3451"/>
        <w:gridCol w:w="146"/>
        <w:gridCol w:w="267"/>
        <w:gridCol w:w="858"/>
        <w:gridCol w:w="166"/>
        <w:gridCol w:w="146"/>
        <w:gridCol w:w="357"/>
        <w:gridCol w:w="1143"/>
        <w:gridCol w:w="4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receivables at June 30, 2026 and December 31, 2025 primarily relate to 45X Credits earned in connection with manufacturing activity by our wholly owned subsidiary, Alpha Steel.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Approximately $12.3 million of net accounts receivable are related to certain large projects that have been deferred or are in dispute and have been outstanding for more than a year. We are continuing to seek resolution with our customers to collect the amounts owed to us and have taken into consideration what we ultimately expect to recover in our estimate of the allowance for credit losses. Actual results could differ from our estimates.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Activity in the allowance for credit losses during the three and six months ended June 30, 2026 and 2025 was as follows:</w:t>
      </w:r>
    </w:p>
    <w:tbl>
      <w:tblPr>
        <w:tblW w:w="10205" w:type="dxa"/>
        <w:jc w:val="left"/>
        <w:tblInd w:w="0" w:type="dxa"/>
        <w:tblLayout w:type="fixed"/>
        <w:tblCellMar>
          <w:top w:w="28" w:type="dxa"/>
          <w:left w:w="28" w:type="dxa"/>
          <w:bottom w:w="28" w:type="dxa"/>
          <w:right w:w="28" w:type="dxa"/>
        </w:tblCellMar>
      </w:tblPr>
      <w:tblGrid>
        <w:gridCol w:w="4881"/>
        <w:gridCol w:w="346"/>
        <w:gridCol w:w="211"/>
        <w:gridCol w:w="571"/>
        <w:gridCol w:w="366"/>
        <w:gridCol w:w="346"/>
        <w:gridCol w:w="211"/>
        <w:gridCol w:w="571"/>
        <w:gridCol w:w="146"/>
        <w:gridCol w:w="146"/>
        <w:gridCol w:w="226"/>
        <w:gridCol w:w="614"/>
        <w:gridCol w:w="178"/>
        <w:gridCol w:w="156"/>
        <w:gridCol w:w="226"/>
        <w:gridCol w:w="614"/>
        <w:gridCol w:w="396"/>
      </w:tblGrid>
      <w:tr>
        <w:trPr/>
        <w:tc>
          <w:tcPr>
            <w:tcW w:w="48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charged (credited) to earnings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3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3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Inventories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Inventories consisted of the following:</w:t>
      </w:r>
    </w:p>
    <w:tbl>
      <w:tblPr>
        <w:tblW w:w="7785" w:type="dxa"/>
        <w:jc w:val="left"/>
        <w:tblInd w:w="0" w:type="dxa"/>
        <w:tblLayout w:type="fixed"/>
        <w:tblCellMar>
          <w:top w:w="28" w:type="dxa"/>
          <w:left w:w="28" w:type="dxa"/>
          <w:bottom w:w="28" w:type="dxa"/>
          <w:right w:w="28" w:type="dxa"/>
        </w:tblCellMar>
      </w:tblPr>
      <w:tblGrid>
        <w:gridCol w:w="4291"/>
        <w:gridCol w:w="146"/>
        <w:gridCol w:w="267"/>
        <w:gridCol w:w="858"/>
        <w:gridCol w:w="166"/>
        <w:gridCol w:w="146"/>
        <w:gridCol w:w="403"/>
        <w:gridCol w:w="1097"/>
        <w:gridCol w:w="4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slow-moving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Activity in the allowance for slow-moving and obsolete inventory during the six months ended June 30, 2026 was as follows:</w:t>
      </w:r>
    </w:p>
    <w:tbl>
      <w:tblPr>
        <w:tblW w:w="5476" w:type="dxa"/>
        <w:jc w:val="left"/>
        <w:tblInd w:w="0" w:type="dxa"/>
        <w:tblLayout w:type="fixed"/>
        <w:tblCellMar>
          <w:top w:w="28" w:type="dxa"/>
          <w:left w:w="28" w:type="dxa"/>
          <w:bottom w:w="28" w:type="dxa"/>
          <w:right w:w="28" w:type="dxa"/>
        </w:tblCellMar>
      </w:tblPr>
      <w:tblGrid>
        <w:gridCol w:w="2916"/>
        <w:gridCol w:w="146"/>
        <w:gridCol w:w="261"/>
        <w:gridCol w:w="595"/>
        <w:gridCol w:w="205"/>
        <w:gridCol w:w="180"/>
        <w:gridCol w:w="261"/>
        <w:gridCol w:w="521"/>
        <w:gridCol w:w="391"/>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of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Prepaid and other current assets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Prepaid and other current assets consisted of the following:</w:t>
      </w:r>
    </w:p>
    <w:tbl>
      <w:tblPr>
        <w:tblW w:w="5480" w:type="dxa"/>
        <w:jc w:val="left"/>
        <w:tblInd w:w="0" w:type="dxa"/>
        <w:tblLayout w:type="fixed"/>
        <w:tblCellMar>
          <w:top w:w="28" w:type="dxa"/>
          <w:left w:w="28" w:type="dxa"/>
          <w:bottom w:w="28" w:type="dxa"/>
          <w:right w:w="28" w:type="dxa"/>
        </w:tblCellMar>
      </w:tblPr>
      <w:tblGrid>
        <w:gridCol w:w="2086"/>
        <w:gridCol w:w="146"/>
        <w:gridCol w:w="267"/>
        <w:gridCol w:w="858"/>
        <w:gridCol w:w="146"/>
        <w:gridCol w:w="146"/>
        <w:gridCol w:w="357"/>
        <w:gridCol w:w="1143"/>
        <w:gridCol w:w="3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and December 31, 2025, other current assets included $2.0 million for a non-interest-bearing customer advance related to pre-project construction financing activities. This advance is secured by certain customer assets and is currently due.</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lease office and warehouse space in various locations, including in the United States, India and Australia. Additionally, we lease space for an applications laboratory in Austin, Texas and research and development facilities in both Seguin, Texas and India. We also sub-lease the Alpha Steel facility. Apart from Alpha Steel, the remainder of our manufacturing is outsourced to contract manufacturing partners, and we currently do not own or lease any of those outsourced manufacturing facilities.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Our expense for our operating leases consisted of the following:</w:t>
      </w:r>
    </w:p>
    <w:tbl>
      <w:tblPr>
        <w:tblW w:w="7481" w:type="dxa"/>
        <w:jc w:val="left"/>
        <w:tblInd w:w="0" w:type="dxa"/>
        <w:tblLayout w:type="fixed"/>
        <w:tblCellMar>
          <w:top w:w="28" w:type="dxa"/>
          <w:left w:w="28" w:type="dxa"/>
          <w:bottom w:w="28" w:type="dxa"/>
          <w:right w:w="28" w:type="dxa"/>
        </w:tblCellMar>
      </w:tblPr>
      <w:tblGrid>
        <w:gridCol w:w="2411"/>
        <w:gridCol w:w="146"/>
        <w:gridCol w:w="301"/>
        <w:gridCol w:w="600"/>
        <w:gridCol w:w="208"/>
        <w:gridCol w:w="208"/>
        <w:gridCol w:w="301"/>
        <w:gridCol w:w="600"/>
        <w:gridCol w:w="146"/>
        <w:gridCol w:w="146"/>
        <w:gridCol w:w="250"/>
        <w:gridCol w:w="678"/>
        <w:gridCol w:w="173"/>
        <w:gridCol w:w="173"/>
        <w:gridCol w:w="250"/>
        <w:gridCol w:w="499"/>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Future remaining operating lease payment obligations were as follows:</w:t>
      </w:r>
    </w:p>
    <w:tbl>
      <w:tblPr>
        <w:tblW w:w="5240" w:type="dxa"/>
        <w:jc w:val="left"/>
        <w:tblInd w:w="0" w:type="dxa"/>
        <w:tblLayout w:type="fixed"/>
        <w:tblCellMar>
          <w:top w:w="28" w:type="dxa"/>
          <w:left w:w="28" w:type="dxa"/>
          <w:bottom w:w="28" w:type="dxa"/>
          <w:right w:w="28" w:type="dxa"/>
        </w:tblCellMar>
      </w:tblPr>
      <w:tblGrid>
        <w:gridCol w:w="3901"/>
        <w:gridCol w:w="146"/>
        <w:gridCol w:w="211"/>
        <w:gridCol w:w="57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Property and equipment, net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Property and equipment consisted of the following:</w:t>
      </w:r>
    </w:p>
    <w:tbl>
      <w:tblPr>
        <w:tblW w:w="6465" w:type="dxa"/>
        <w:jc w:val="left"/>
        <w:tblInd w:w="0" w:type="dxa"/>
        <w:tblLayout w:type="fixed"/>
        <w:tblCellMar>
          <w:top w:w="28" w:type="dxa"/>
          <w:left w:w="28" w:type="dxa"/>
          <w:bottom w:w="28" w:type="dxa"/>
          <w:right w:w="28" w:type="dxa"/>
        </w:tblCellMar>
      </w:tblPr>
      <w:tblGrid>
        <w:gridCol w:w="2971"/>
        <w:gridCol w:w="146"/>
        <w:gridCol w:w="282"/>
        <w:gridCol w:w="843"/>
        <w:gridCol w:w="166"/>
        <w:gridCol w:w="146"/>
        <w:gridCol w:w="376"/>
        <w:gridCol w:w="1124"/>
        <w:gridCol w:w="4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field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and six months ended June 30, 2026, totaled $0.4 million and $0.8 million, respectively. Depreciation expense for the three and six months ended June 30, 2025, totaled $0.3 million and $0.6 million, respectively.</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Goodwill</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During the six months ended June 30, 2026 and 2025, activity in our goodwill balance was as follows:</w:t>
      </w:r>
    </w:p>
    <w:tbl>
      <w:tblPr>
        <w:tblW w:w="5294" w:type="dxa"/>
        <w:jc w:val="left"/>
        <w:tblInd w:w="0" w:type="dxa"/>
        <w:tblLayout w:type="fixed"/>
        <w:tblCellMar>
          <w:top w:w="28" w:type="dxa"/>
          <w:left w:w="28" w:type="dxa"/>
          <w:bottom w:w="28" w:type="dxa"/>
          <w:right w:w="28" w:type="dxa"/>
        </w:tblCellMar>
      </w:tblPr>
      <w:tblGrid>
        <w:gridCol w:w="2641"/>
        <w:gridCol w:w="146"/>
        <w:gridCol w:w="146"/>
        <w:gridCol w:w="146"/>
        <w:gridCol w:w="230"/>
        <w:gridCol w:w="623"/>
        <w:gridCol w:w="159"/>
        <w:gridCol w:w="159"/>
        <w:gridCol w:w="230"/>
        <w:gridCol w:w="623"/>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Accrued expenses and other current liabilities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7140" w:type="dxa"/>
        <w:jc w:val="left"/>
        <w:tblInd w:w="0" w:type="dxa"/>
        <w:tblLayout w:type="fixed"/>
        <w:tblCellMar>
          <w:top w:w="28" w:type="dxa"/>
          <w:left w:w="28" w:type="dxa"/>
          <w:bottom w:w="28" w:type="dxa"/>
          <w:right w:w="28" w:type="dxa"/>
        </w:tblCellMar>
      </w:tblPr>
      <w:tblGrid>
        <w:gridCol w:w="3766"/>
        <w:gridCol w:w="146"/>
        <w:gridCol w:w="267"/>
        <w:gridCol w:w="858"/>
        <w:gridCol w:w="146"/>
        <w:gridCol w:w="146"/>
        <w:gridCol w:w="357"/>
        <w:gridCol w:w="1143"/>
        <w:gridCol w:w="3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Non-federal tax obligations (collections),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10,725</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accrued expenses primarily include amounts due for (i) legal costs associated with outstanding corporate or legal matters and (ii) other professional services.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Activity by period in the Company's warranty accruals was as follows:</w:t>
      </w:r>
    </w:p>
    <w:tbl>
      <w:tblPr>
        <w:tblW w:w="10205" w:type="dxa"/>
        <w:jc w:val="left"/>
        <w:tblInd w:w="0" w:type="dxa"/>
        <w:tblLayout w:type="fixed"/>
        <w:tblCellMar>
          <w:top w:w="28" w:type="dxa"/>
          <w:left w:w="28" w:type="dxa"/>
          <w:bottom w:w="28" w:type="dxa"/>
          <w:right w:w="28" w:type="dxa"/>
        </w:tblCellMar>
      </w:tblPr>
      <w:tblGrid>
        <w:gridCol w:w="4605"/>
        <w:gridCol w:w="146"/>
        <w:gridCol w:w="222"/>
        <w:gridCol w:w="715"/>
        <w:gridCol w:w="175"/>
        <w:gridCol w:w="154"/>
        <w:gridCol w:w="222"/>
        <w:gridCol w:w="715"/>
        <w:gridCol w:w="166"/>
        <w:gridCol w:w="146"/>
        <w:gridCol w:w="262"/>
        <w:gridCol w:w="843"/>
        <w:gridCol w:w="166"/>
        <w:gridCol w:w="146"/>
        <w:gridCol w:w="262"/>
        <w:gridCol w:w="843"/>
        <w:gridCol w:w="417"/>
      </w:tblGrid>
      <w:tr>
        <w:trPr/>
        <w:tc>
          <w:tcPr>
            <w:tcW w:w="4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Warranties issued and remediation added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liability for pre-existing warranties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accruals are 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9,861</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we recorded income tax expense of $0.22 million and $0.41 million, respectively. For the three and six months ended June 30, 2025, we recorded income tax expense of $0.04 million and $0.29 million, respectively. These amounts for each period were lower than the statutory rate of 21%, primarily due to a valuation allowance established against the U.S.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had no material change in our unrecognized tax benefits since December 31, 2025. We recognize accrued interest and penalties related to unrecognized tax benefits as a component of income tax expense. As of June 30, 2026, and December 31, 2025, we had no accrued interest or penalties related to unrecognized tax benefits.</w:t>
      </w:r>
    </w:p>
    <w:p>
      <w:pPr>
        <w:pStyle w:val="TextBody"/>
        <w:bidi w:val="0"/>
        <w:jc w:val="both"/>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11. Debt</w:t>
      </w:r>
    </w:p>
    <w:tbl>
      <w:tblPr>
        <w:tblW w:w="8265" w:type="dxa"/>
        <w:jc w:val="left"/>
        <w:tblInd w:w="0" w:type="dxa"/>
        <w:tblLayout w:type="fixed"/>
        <w:tblCellMar>
          <w:top w:w="28" w:type="dxa"/>
          <w:left w:w="28" w:type="dxa"/>
          <w:bottom w:w="28" w:type="dxa"/>
          <w:right w:w="28" w:type="dxa"/>
        </w:tblCellMar>
      </w:tblPr>
      <w:tblGrid>
        <w:gridCol w:w="4771"/>
        <w:gridCol w:w="146"/>
        <w:gridCol w:w="250"/>
        <w:gridCol w:w="875"/>
        <w:gridCol w:w="166"/>
        <w:gridCol w:w="146"/>
        <w:gridCol w:w="334"/>
        <w:gridCol w:w="1166"/>
        <w:gridCol w:w="4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term loans and A&amp;R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discount and deferred loan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Acquisition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acquisition of 100% of the Membership Interests in Alpha Steel in November 2025, we agreed to pay approximately $2.7 million in various installments during 2026, which was evidenced by Acquisition Notes. At June 30, 2026, we had a remaining balance due of approximately $1.1 million, plus accrued interest, which we paid during August 2026. The Acquisition Notes bear interest on any unpaid balance at a rate of 3.64% per annum and are secured by all of Alpha Steel's assets, provided, however, the security interests granted to each of the Selling Members under the Acquisition Notes are subordinate and junior to the security interests in favor of the Lenders under the Credit Agreement described below. The Acquisition Notes were discounted upon issuance at a market-participant discount rate resulting in an effective interest rate of approximately 12% until maturity.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Credit Agreement and New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 Credit Agreement, effective July 2, 2025 (the "Original Credit Agreement:"), with various lenders (the "Lenders") and Acquiom Agency Services LLC, as Administrative Agent. On November 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(i) the Lenders provided a waiver relating to our breach of the purchase order covenant for the fiscal quarter ended December 31, 2025; (ii) the Lenders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 The amount of each of the foregoing principal repayments is referred to as an "ECF Repayment Amount". The Original Credit Agreement, as amended, is referred to throughout as the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noted above, we were not in compliance with the required minimum cash and direct tracker margin covenants pursuant to the Second Amendment as of June 30, 2026. On August 4, 2026, we entered into the Waiver with the Lenders in which the Lenders waived our noncompliance with these minimum unrestricted cash and minimum direct tracker margin covenants as described above. The waiver covered the periods of noncompliance but did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consolidated financial statements included herein. Accordingly, we have classified all outstanding debt under our Credit Agreement as a current obligation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provides for a senior secured term facility of up to $75 million, consisting of (i) Initial Term Loans and First Delayed Draw Term Loans (both as defined in the Credit Agreement) that were funded during 2025 in an aggregate principal amount of $37.5 million, and (ii) up to $37.5 million principal amount of Second Delayed Draw Term Loans (as defined in the Credit Agreement) that may be requested by the Company and approved by the Lenders in their sole discretion (collectively, with the Initial Term Loans and the First Delayed Draw Term Loans, the "Term Loans"). The Term Loans currently outstanding were originally scheduled to mature on July 2,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of a change of control of the Company, a holder of the New Warrants may, at its option, elect to exercise its New Warrants or exercise a repurchase option that requires the Company to repurchase its New Warrants upon the consummation of the change of control for a cash amount equal to the Black Scholes Value (as defined in the New Warrants). Additionally, the New Warrants provide each holder with a pro rata purchase right (based on the total number of shares of common stock held by a holder and the number of shares issuable upon exercise of the New Warrants) in the event the Company issues any equity securities, convertible securities or rights, options or warrants to purchase equity securities, subject to customary exceptions and conditions. The New Warrants include other customary terms and provisions, including adjustment provisions relating to stock splits, stock dividends, reclassifications and other recapitalization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Key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required principal payments under the Second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principal payments required in 2026 under the terms of the Second Amendment, we now estimate an Exit Fee of approximately $2.6 million will be owed upon the originally stated maturity of the debt, in addition to the repayment upon originally stated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June 30, 2026 for the exit fee obligation is reflected as a component of our total debt balance.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includes customary repayment and prepayment terms, affirmative and negative covenants and representations and warranties, including restrictions on payment of dividends and other covenants.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and certain of its subsidiaries from time-to-time party thereto guarantee the obligations under the Credit Agreement and other Loan Documents. In addition, such obligations are secured by a first priority lien on substantially all tangible and intangible property of the Company and the guarantors and pledges of the equity of certain Company subsidiaries, in each case subject to certain exceptions, limitations and exclusions for the collateral.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Financial covenants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amended by the Second Amendment, the Credit Agreement includes the following covenants.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Unrestricted Cash Amount</w:t>
      </w:r>
      <w:r>
        <w:rPr>
          <w:rFonts w:ascii="Times New Roman" w:hAnsi="Times New Roman"/>
          <w:color w:val="000000"/>
          <w:sz w:val="20"/>
        </w:rPr>
        <w:t>. The Company is required to have unrestricted cash balances as of the last day of the fiscal quarter ending September 30, 2026 equal to the greater of (i) $10.0</w:t>
      </w:r>
      <w:r>
        <w:rPr>
          <w:color w:val="000000"/>
        </w:rPr>
        <w:t xml:space="preserve"> </w:t>
      </w:r>
      <w:r>
        <w:rPr>
          <w:rFonts w:ascii="Times New Roman" w:hAnsi="Times New Roman"/>
          <w:color w:val="000000"/>
          <w:sz w:val="20"/>
        </w:rPr>
        <w:t>million and (ii) $15.0</w:t>
      </w:r>
      <w:r>
        <w:rPr>
          <w:color w:val="000000"/>
        </w:rPr>
        <w:t xml:space="preserve"> </w:t>
      </w:r>
      <w:r>
        <w:rPr>
          <w:rFonts w:ascii="Times New Roman" w:hAnsi="Times New Roman"/>
          <w:color w:val="000000"/>
          <w:sz w:val="20"/>
        </w:rPr>
        <w:t>million minus a remaining ECF Repayment Amount if actually paid by the Company to the Lenders pursuant to the Credit Agreement prior to such date. The Company currently anticipates that this financial covenant will require the Company to have at least $10.0</w:t>
      </w:r>
      <w:r>
        <w:rPr>
          <w:color w:val="000000"/>
        </w:rPr>
        <w:t xml:space="preserve"> </w:t>
      </w:r>
      <w:r>
        <w:rPr>
          <w:rFonts w:ascii="Times New Roman" w:hAnsi="Times New Roman"/>
          <w:color w:val="000000"/>
          <w:sz w:val="20"/>
        </w:rPr>
        <w:t>million of unrestricted cash as of September 30, 2026, and each fiscal quarter thereafter.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Quarterly Revenue</w:t>
      </w:r>
      <w:r>
        <w:rPr>
          <w:rFonts w:ascii="Times New Roman" w:hAnsi="Times New Roman"/>
          <w:color w:val="000000"/>
          <w:sz w:val="20"/>
        </w:rPr>
        <w:t>. The Company is required to have consolidated quarterly revenue of at least: (i) $50.0</w:t>
      </w:r>
      <w:r>
        <w:rPr>
          <w:color w:val="000000"/>
        </w:rPr>
        <w:t xml:space="preserve"> </w:t>
      </w:r>
      <w:r>
        <w:rPr>
          <w:rFonts w:ascii="Times New Roman" w:hAnsi="Times New Roman"/>
          <w:color w:val="000000"/>
          <w:sz w:val="20"/>
        </w:rPr>
        <w:t>million for the fiscal quarter ending September 30, 2026; and (ii) $75.0</w:t>
      </w:r>
      <w:r>
        <w:rPr>
          <w:color w:val="000000"/>
        </w:rPr>
        <w:t xml:space="preserve"> </w:t>
      </w:r>
      <w:r>
        <w:rPr>
          <w:rFonts w:ascii="Times New Roman" w:hAnsi="Times New Roman"/>
          <w:color w:val="000000"/>
          <w:sz w:val="20"/>
        </w:rPr>
        <w:t>million for the fiscal quarter ending December 31, 2026 and the last day of each fiscal quarter thereafter.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Consolidated EBITDA</w:t>
      </w:r>
      <w:r>
        <w:rPr>
          <w:rFonts w:ascii="Times New Roman" w:hAnsi="Times New Roman"/>
          <w:color w:val="000000"/>
          <w:sz w:val="20"/>
        </w:rPr>
        <w:t>. For the 12-month period ending December 31, 2026, the Company’s consolidated EBITDA may not be less than $10.0</w:t>
      </w:r>
      <w:r>
        <w:rPr>
          <w:color w:val="000000"/>
        </w:rPr>
        <w:t xml:space="preserve"> </w:t>
      </w:r>
      <w:r>
        <w:rPr>
          <w:rFonts w:ascii="Times New Roman" w:hAnsi="Times New Roman"/>
          <w:color w:val="000000"/>
          <w:sz w:val="20"/>
        </w:rPr>
        <w:t>million, and for the 12-month period ending December 31, 2027 and the last day of each fiscal year thereafter, the Company’s consolidated EBITDA may not be less than $25.0</w:t>
      </w:r>
      <w:r>
        <w:rPr>
          <w:color w:val="000000"/>
        </w:rPr>
        <w:t xml:space="preserve"> </w:t>
      </w:r>
      <w:r>
        <w:rPr>
          <w:rFonts w:ascii="Times New Roman" w:hAnsi="Times New Roman"/>
          <w:color w:val="000000"/>
          <w:sz w:val="20"/>
        </w:rPr>
        <w:t>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Company’s direct tracker margin must exceed certain thresholds for each fiscal quarter in 2026, and the financial covenants also include a requirement that the amounts due to the Company under new purchase orders must meet certain thresholds beginning with the fiscal quarter ending March 31,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the Company was not in compliance with the required minimum unrestricted cash and direct tracker margin financial covenants under the Credit Agreement. On August 4, 2026, we entered into the Waiver with the Lenders in which the Lenders waived our noncompliance with these minimum unrestricted cash and minimum direct tracker margin covenants.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Senior Notes and Original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senior secured promissory notes (the “Senior Notes”) and warrants exercisable for 1,750,000 shares of our common stock (the “ Original Warrants”) (the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Changes in the number and value of our Original and New Warrants were as follows:</w:t>
      </w:r>
    </w:p>
    <w:tbl>
      <w:tblPr>
        <w:tblW w:w="10194" w:type="dxa"/>
        <w:jc w:val="left"/>
        <w:tblInd w:w="0" w:type="dxa"/>
        <w:tblLayout w:type="fixed"/>
        <w:tblCellMar>
          <w:top w:w="28" w:type="dxa"/>
          <w:left w:w="28" w:type="dxa"/>
          <w:bottom w:w="28" w:type="dxa"/>
          <w:right w:w="28" w:type="dxa"/>
        </w:tblCellMar>
      </w:tblPr>
      <w:tblGrid>
        <w:gridCol w:w="3331"/>
        <w:gridCol w:w="146"/>
        <w:gridCol w:w="215"/>
        <w:gridCol w:w="1375"/>
        <w:gridCol w:w="146"/>
        <w:gridCol w:w="146"/>
        <w:gridCol w:w="257"/>
        <w:gridCol w:w="898"/>
        <w:gridCol w:w="166"/>
        <w:gridCol w:w="146"/>
        <w:gridCol w:w="204"/>
        <w:gridCol w:w="1386"/>
        <w:gridCol w:w="166"/>
        <w:gridCol w:w="146"/>
        <w:gridCol w:w="289"/>
        <w:gridCol w:w="866"/>
        <w:gridCol w:w="3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($000's)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($000's)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Original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Amendment to the Purchase Agreement and Senior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 connection with the Credit Agreement and the Subordination Agreement, the Company and Investor entered into an Amended and Restated Promissory Note, dated July 2, 2025 (the “A&amp;R Promissory Note”). The A&amp;R Promissory Note amends and restates the 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Purchase Agreement entered into on July 2, 2025 (the "Purchase Agreement Amendment"), among other things, the Investor agreed to release all liens and guarantees securing the obligations under the Senior Notes, the Purchase Agreement, and the A&amp;R Promissory Note. The A&amp;R Promissory Note also (i) provides for additional interest to be capitalized and added to the principal amount of the debt at a rate of 5% per annum upon the occurrence and continuation of certain events of default and (ii) was originally scheduled to mature on January 2, 2030.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herein. Accordingly, the outstanding Term Loan and A&amp;R Promissory principal, plus accrued paid-in-kind interest, related unamortized discount and debt issue costs and any applicable Exit Fee, have been classified as a current obligation at June 30,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interest expense recognized during the three and six months ended June 30, 2026 was $4.3 million and $8.2 million, respectively. Total interest expense recognized during the three and six months ended June 30, 2025 was $0.7 million and $1.4 million, respectively. The effective interest rate for our long-term debt, including accretion of the exit fee obligation and amortization of the discount and deferred loan costs, is approximately 30%.</w:t>
      </w:r>
    </w:p>
    <w:p>
      <w:pPr>
        <w:pStyle w:val="TextBody"/>
        <w:bidi w:val="0"/>
        <w:jc w:val="both"/>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become involved in various claims, lawsuits, investigations, and other proceedings arising in the normal course of business. We accrue a liability when information available prior to the issuance of our Condensed Consolidated Financial Statements indicates it is probable that a loss has been incurred as of the date of the Condensed Consolidated Financial Statements, and the amount of loss can be reasonably estimated. If the reasonable estimate of the probable loss is a range, we record an accrual for the most likely estimate of the loss, or the low end of the range if there is no one best estimate. We adjust our accruals to reflect the impact of negotiation, settlements, rulings, advice of legal counsel and other information and events pertaining to a particular case. Legal costs are expensed as incurred.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States Customs and Border Protection assessment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of 2023, United States Customs and Border Protection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antidumping and countervailing duties, previously assessed under the Original 939 Assessment are not applicable as they are only applicable to articles that are products of China and that, in this case, the finished goods are products of Thailand.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CBP has legally finalized both Revised CBP Assessments. We filed a formal protest for the 625 Assessment in September of 2023 and for the Revised 939 Assessment in March of 2024. On February 11, 2026, CBP partially approved our protest of the 625 Assessment, which reduced our estimated exposure down to $0.07 million. We were notified on March 18, 2026, that CBP had denied our protest of the Revised 939 Assessment. Based on the denial by CBP, we accrued approximately $2.7 million, inclusive of interest, in our consolidated financial results for the year ended December 31, 2025. As of the date of filing this Quarterly Report, we have tendered $1.2 million of the claimed liability to CBP. We are currently evaluating our options to challenge this decision by CBP in the U.S. Court of International Trade (the "CIT") as to the merits of the disputed tariff classifications. A successful challenge would result in the refund of the tendered duties with interest. Matters of this nature are subject to inherent uncertainties and unfavorable rulings or developments. The assessment of our counsel is that there can be no certainty that the Company might ultimately prevail in the CIT and we could also be subject to future assessments of additional duties or tariffs owed in respect of other shipments or other materials beyond what is presently included in the Revised CBP Assessments. Such potential additional charges are not currently recorded as liabilities which, if incurred, could have a material adverse effect on our consolidated results of operations, financial position, or liquidity.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Customer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The parties are now engaged in discovery.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16, 2025, we filed an amendment to replace an existing Form S-3 shelf registration statement relating to (a) the issuance and sale from time to time in one or more transactions, of up to $65 million in aggregate of our common stock, preferred stock, debt securities and warrants and (b) an at the market offering prospectus covering the offering, issuance and sale of up to a maximum aggregate offering price of approximately $13.75 million of our common stock that may be sold under our ATM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2025, we entered into the Sale Agreement with H.C. Wainwright &amp; Co. LLC relating to the sale from time to time of shares of our common stock in accordance with the terms of the Sale Agreement having an aggregate offering price that does not exceed the number or dollar amount of shares of common stock that we may register from time to time for the ATM program, or approximately $13.75 million.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Sales of newly issued shares of our common stock under the ATM program were as follows:</w:t>
      </w:r>
    </w:p>
    <w:tbl>
      <w:tblPr>
        <w:tblW w:w="10205" w:type="dxa"/>
        <w:jc w:val="left"/>
        <w:tblInd w:w="0" w:type="dxa"/>
        <w:tblLayout w:type="fixed"/>
        <w:tblCellMar>
          <w:top w:w="28" w:type="dxa"/>
          <w:left w:w="28" w:type="dxa"/>
          <w:bottom w:w="28" w:type="dxa"/>
          <w:right w:w="28" w:type="dxa"/>
        </w:tblCellMar>
      </w:tblPr>
      <w:tblGrid>
        <w:gridCol w:w="3477"/>
        <w:gridCol w:w="146"/>
        <w:gridCol w:w="208"/>
        <w:gridCol w:w="1118"/>
        <w:gridCol w:w="173"/>
        <w:gridCol w:w="173"/>
        <w:gridCol w:w="339"/>
        <w:gridCol w:w="918"/>
        <w:gridCol w:w="166"/>
        <w:gridCol w:w="146"/>
        <w:gridCol w:w="392"/>
        <w:gridCol w:w="907"/>
        <w:gridCol w:w="250"/>
        <w:gridCol w:w="250"/>
        <w:gridCol w:w="481"/>
        <w:gridCol w:w="764"/>
        <w:gridCol w:w="297"/>
      </w:tblGrid>
      <w:tr>
        <w:trPr/>
        <w:tc>
          <w:tcPr>
            <w:tcW w:w="3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($000's)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($000's)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newly issued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fees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350,152</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utilize the net proceeds from offerings under the ATM program for general corporate purposes, including working capital and operating expenses. We may also use a portion of such proceeds to acquire or invest in businesses, products, services or technologies. There can be no assurance regarding the price at which we will be able to sell such shares in the future, whether under the ATM program or other securities offerings, and any sales of our common stock under the ATM program or other securities offerings may be at prices that result in additional dilution to our existing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approximately $7.6 million remained available for sale under the existing Sale Agreement and prospectus for the ATM program, however, we have no current plans to continue to utilize the capacity remaining available under the ATM program.</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14. Stock-based compensation</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Stock-based compensation expense for each period was as follows:</w:t>
      </w:r>
    </w:p>
    <w:tbl>
      <w:tblPr>
        <w:tblW w:w="7998" w:type="dxa"/>
        <w:jc w:val="left"/>
        <w:tblInd w:w="0" w:type="dxa"/>
        <w:tblLayout w:type="fixed"/>
        <w:tblCellMar>
          <w:top w:w="28" w:type="dxa"/>
          <w:left w:w="28" w:type="dxa"/>
          <w:bottom w:w="28" w:type="dxa"/>
          <w:right w:w="28" w:type="dxa"/>
        </w:tblCellMar>
      </w:tblPr>
      <w:tblGrid>
        <w:gridCol w:w="3026"/>
        <w:gridCol w:w="146"/>
        <w:gridCol w:w="274"/>
        <w:gridCol w:w="743"/>
        <w:gridCol w:w="190"/>
        <w:gridCol w:w="190"/>
        <w:gridCol w:w="274"/>
        <w:gridCol w:w="548"/>
        <w:gridCol w:w="146"/>
        <w:gridCol w:w="146"/>
        <w:gridCol w:w="230"/>
        <w:gridCol w:w="623"/>
        <w:gridCol w:w="159"/>
        <w:gridCol w:w="159"/>
        <w:gridCol w:w="230"/>
        <w:gridCol w:w="623"/>
        <w:gridCol w:w="291"/>
      </w:tblGrid>
      <w:tr>
        <w:trPr/>
        <w:tc>
          <w:tcPr>
            <w:tcW w:w="3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15.</w:t>
      </w:r>
      <w:r>
        <w:rPr>
          <w:rFonts w:ascii="Times New Roman" w:hAnsi="Times New Roman"/>
          <w:color w:val="000000"/>
          <w:sz w:val="20"/>
        </w:rPr>
        <w:t xml:space="preserve"> </w:t>
      </w:r>
      <w:r>
        <w:rPr>
          <w:rFonts w:ascii="Times New Roman" w:hAnsi="Times New Roman"/>
          <w:b/>
          <w:color w:val="000000"/>
          <w:sz w:val="20"/>
        </w:rPr>
        <w:t>Related 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11, 2025, we entered into a Membership Interest Purchase Agreement with the Selling Members of Alpha Steel pursuant to which we agreed to acquire all of their membership interests, effective November 12, 2025. Prior to November 12, 2025, we held a 45% interest in Alpha Steel, which was accounted for under the equity method of accounting and during which time Alpha Steel was considered a related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Alpha Steel was consolidated into our financial results as a wholly owned subsidiary and all intercompany balances as of those dates had been eliminated in consolidation, including Alpha Steel's intercompany results of operations for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months ended June 30, 2025, we received invoices from Alpha Steel for purchases totaling $2.9 million and $7.6 million, respectively.</w:t>
      </w:r>
    </w:p>
    <w:p>
      <w:pPr>
        <w:pStyle w:val="TextBody"/>
        <w:bidi w:val="0"/>
        <w:jc w:val="both"/>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16.</w:t>
      </w:r>
      <w:r>
        <w:rPr>
          <w:rFonts w:ascii="Times New Roman" w:hAnsi="Times New Roman"/>
          <w:color w:val="000000"/>
          <w:sz w:val="20"/>
        </w:rPr>
        <w:t xml:space="preserve"> </w:t>
      </w:r>
      <w:r>
        <w:rPr>
          <w:rFonts w:ascii="Times New Roman" w:hAnsi="Times New Roman"/>
          <w:b/>
          <w:color w:val="000000"/>
          <w:sz w:val="20"/>
        </w:rPr>
        <w:t>Net income (loss) per share</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basic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decrease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diluted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for calculating basic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Assumed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for calculating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22,635,642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purposes of computing diluted loss per share, weighted average common shares outstanding do not include potentially dilutive securities that are anti-dilutive, as shown below.</w:t>
      </w:r>
    </w:p>
    <w:tbl>
      <w:tblPr>
        <w:tblW w:w="10205" w:type="dxa"/>
        <w:jc w:val="left"/>
        <w:tblInd w:w="0" w:type="dxa"/>
        <w:tblLayout w:type="fixed"/>
        <w:tblCellMar>
          <w:top w:w="28" w:type="dxa"/>
          <w:left w:w="28" w:type="dxa"/>
          <w:bottom w:w="28" w:type="dxa"/>
          <w:right w:w="28" w:type="dxa"/>
        </w:tblCellMar>
      </w:tblPr>
      <w:tblGrid>
        <w:gridCol w:w="4379"/>
        <w:gridCol w:w="146"/>
        <w:gridCol w:w="146"/>
        <w:gridCol w:w="1036"/>
        <w:gridCol w:w="146"/>
        <w:gridCol w:w="146"/>
        <w:gridCol w:w="146"/>
        <w:gridCol w:w="931"/>
        <w:gridCol w:w="146"/>
        <w:gridCol w:w="146"/>
        <w:gridCol w:w="146"/>
        <w:gridCol w:w="931"/>
        <w:gridCol w:w="146"/>
        <w:gridCol w:w="146"/>
        <w:gridCol w:w="146"/>
        <w:gridCol w:w="931"/>
        <w:gridCol w:w="391"/>
      </w:tblGrid>
      <w:tr>
        <w:trPr/>
        <w:tc>
          <w:tcPr>
            <w:tcW w:w="4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securities excluded from calculating dilutive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of common stock issuable under stock option plans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of common stock issuable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1,974,750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of common stock issuable upon exercise of outstanding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Potential common shares excluded from diluted net loss per share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2,181,155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operate in one business segment, the manufacturing and servicing of solar tracker systems. We consider our segment results to be the same as our consolidated results and our segment accounting policies to be the same as those described in Note 2, "Summary of significant accounting policies"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report our revenue based on the products and services we provide.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Based on certain significant period cost information regularly provided to our Chief Operating Decision Maker, following is a reconciliation of such costs to our consolidated net income (loss)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875"/>
        <w:gridCol w:w="146"/>
        <w:gridCol w:w="211"/>
        <w:gridCol w:w="739"/>
        <w:gridCol w:w="166"/>
        <w:gridCol w:w="146"/>
        <w:gridCol w:w="211"/>
        <w:gridCol w:w="739"/>
        <w:gridCol w:w="166"/>
        <w:gridCol w:w="146"/>
        <w:gridCol w:w="211"/>
        <w:gridCol w:w="676"/>
        <w:gridCol w:w="166"/>
        <w:gridCol w:w="146"/>
        <w:gridCol w:w="211"/>
        <w:gridCol w:w="736"/>
        <w:gridCol w:w="514"/>
      </w:tblGrid>
      <w:tr>
        <w:trPr/>
        <w:tc>
          <w:tcPr>
            <w:tcW w:w="4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segment period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credits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disposal of investment in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Atlas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from 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personnel costs (excluding stock-based compensation) in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
        <w:gridCol w:w="9941"/>
      </w:tblGrid>
      <w:tr>
        <w:trPr/>
        <w:tc>
          <w:tcPr>
            <w:tcW w:w="264"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left"/>
              <w:rPr>
                <w:sz w:val="4"/>
                <w:szCs w:val="4"/>
              </w:rPr>
            </w:pPr>
            <w:r>
              <w:rPr>
                <w:sz w:val="4"/>
                <w:szCs w:val="4"/>
              </w:rPr>
            </w:r>
          </w:p>
        </w:tc>
      </w:tr>
      <w:tr>
        <w:trPr/>
        <w:tc>
          <w:tcPr>
            <w:tcW w:w="2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9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include research and development material and lab expenditures, professional services, marketing, employee travel, facility, insurance, depreciation and amortization and certain other period costs.</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40" w:after="160"/>
        <w:jc w:val="both"/>
        <w:rPr>
          <w:rFonts w:ascii="Times New Roman" w:hAnsi="Times New Roman"/>
          <w:i/>
          <w:color w:val="000000"/>
          <w:sz w:val="20"/>
          <w:u w:val="single"/>
        </w:rPr>
      </w:pPr>
      <w:r>
        <w:rPr>
          <w:rFonts w:ascii="Times New Roman" w:hAnsi="Times New Roman"/>
          <w:i/>
          <w:color w:val="000000"/>
          <w:sz w:val="20"/>
          <w:u w:val="single"/>
        </w:rPr>
        <w:t>Non-Compliance with Covenants and Waiver and Amendment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described further in Note 11, “Debt”, we were not in compliance with the required minimum unrestricted cash covenant of $15.0 million pursuant to the Second Amendment as of June 30, 2026. We were also not in compliance with a required minimum direct tracker margin covenant for the three months ended June 30, 2026. On August 4, 2026, we entered into the Waiver with the Lenders in which the Lenders waived our noncompliance with the minimum unrestricted cash and minimum direct tracker margin covenants. The waiver covered the periods of noncompliance but did not cover our ability to comply with covenants in future periods.</w:t>
      </w:r>
    </w:p>
    <w:p>
      <w:pPr>
        <w:pStyle w:val="TextBody"/>
        <w:bidi w:val="0"/>
        <w:spacing w:before="240" w:after="160"/>
        <w:jc w:val="both"/>
        <w:rPr>
          <w:rFonts w:ascii="Times New Roman" w:hAnsi="Times New Roman"/>
          <w:i/>
          <w:color w:val="000000"/>
          <w:sz w:val="20"/>
          <w:u w:val="single"/>
        </w:rPr>
      </w:pPr>
      <w:r>
        <w:rPr>
          <w:rFonts w:ascii="Times New Roman" w:hAnsi="Times New Roman"/>
          <w:i/>
          <w:color w:val="000000"/>
          <w:sz w:val="20"/>
          <w:u w:val="single"/>
        </w:rPr>
        <w:t>Equity Line of Credit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On August 4, 2026, we entered into a Purchase Agreement with Lincoln Park to establish an equity line of credit of up to $20.0 million. Pursuant to the Purchase Agreement, Lincoln Park committed to purchase, at our direction from time to time, up to an aggregate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$20.0 million of our common stock, subject to the terms and conditions set forth in the Purchase Agreement. We also entered into a Registration Rights Agreement with Lincoln Park, pursuant to which we agreed to file with the SEC a registration statement covering the resale by Lincoln Park of the shares of common stock that have been and may be issued and sold to Lincoln Park under the Purchase Agreement, including the commitment shares described below, and to take such other actions as are reasonably necessary to maintain the effectiveness of such registration statement as provided in the Registration Rights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Purchase Agreement, from and after the date on which the conditions to Lincoln Park’s purchase obligations have been satisfied, including that the registration statement described above is declared effective by the SEC and a final prospectus is filed with the SEC (the “Commencement Date”), we will have the right, but not the obligation, in our sole discretion to direct Lincoln Park to purchase shares of Common Stock from time to time over a period of up to 24 months for aggregate gross proceeds of up to $20.0 million. From and after the Commencement Date, on any business day on which the closing sale price of the Common Stock is not below $1.00 per share, we may, by written notice, direct Lincoln Park to purchase up to 20,000 shares of Common Stock (a “Regular Purchase”), which amount may be increased to up to 30,000 shares of Common Stock if the closing sale price is not below $2.00 per share, up to 40,000 shares of Common Stock if the closing sale price is not less than $3.00 per share of Common Stock, and up to 50,000 shares if the closing sale price is not below $4.00 per share of Common Stock, in each case subject to a maximum dollar amount of $1.0 million per Regular Purchase. The purchase price per share for each Regular Purchase will be equal to 97% of the lower of (i) the lowest sale price of the Common Stock on the applicable purchase date and (ii) the average of the three lowest closing sale prices of the Common Stock during the ten consecutive business days immediately preceding the applicable purchase date. In addition, if we direct Lincoln Park to purchase the maximum number of shares permitted in a Regular Purchase on an applicable purchase date, then, in addition to such Regular Purchase and subject to the satisfaction of certain conditions and limitations set forth in the Purchase Agreement, we may also direct Lincoln Park to purchase additional shares of Common Stock in an accelerated purchase (an “Accelerated Purchase”) on the following business day. For an Accelerated Purchase, Lincoln Park will purchase the lesser of (i) three times the regular purchase share limit for the corresponding Regular Purchase and (ii) 30% of the trading volume on the Accelerated Purchase date as specified in the Purchase Agreement, at a purchase price per share equal to the lower of 97% of (x) the closing sale price on the Accelerated Purchase date and (y) the volume-weighted average price during the measurement period specified in the Purchase Agreement for such date. Subject to satisfaction of the applicable conditions, we may direct multiple Accelerated Purchases in a single trading day.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Purchase Agreement prohibits the Company from directing Lincoln Park to purchase any shares of Common Stock if such shares, when aggregated with all other shares then beneficially owned by Lincoln Park and its affiliates, would result in Lincoln Park beneficially owning more than 4.99% of the outstanding shares of Common Stock, which beneficial ownership cap may be increased by Lincoln Park to up to 9.99% upon 61 days’ prior written notice to the Company. Additionally, unless otherwise approved by our stockholders, we may not issue shares of Common Stock under the Purchase Agreement in excess of 19.9% of our common stock outstanding on August 4,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Lincoln Park’s commitment to purchase shares under the Purchase Agreement, on the date of the Purchase Agreement we issued to Lincoln Park 60,145 shares of Common Stock as commitment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16" w:name="item_2_mda"/>
      <w:bookmarkEnd w:id="16"/>
      <w:r>
        <w:rPr>
          <w:rFonts w:ascii="Times New Roman" w:hAnsi="Times New Roman"/>
          <w:b/>
          <w:color w:val="000000"/>
          <w:sz w:val="24"/>
        </w:rPr>
        <w:t>ITEM 2.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included in Item 1 of this Form 10-Q and along with information included in our 2025 Annual Report. In addition to historical financial information, the following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Part I, Item 1A. "Risk Factors" included in our 2025 Annual Report. Additionally, our historical results are not necessarily indicative of the results that may be expected in any future period.</w:t>
      </w:r>
    </w:p>
    <w:p>
      <w:pPr>
        <w:pStyle w:val="TextBody"/>
        <w:bidi w:val="0"/>
        <w:spacing w:before="240" w:after="283"/>
        <w:jc w:val="both"/>
        <w:rPr>
          <w:rFonts w:ascii="Times New Roman" w:hAnsi="Times New Roman"/>
          <w:sz w:val="20"/>
        </w:rPr>
      </w:pPr>
      <w:r>
        <w:rPr>
          <w:rFonts w:ascii="Times New Roman" w:hAnsi="Times New Roman"/>
          <w:i/>
          <w:color w:val="000000"/>
          <w:sz w:val="20"/>
        </w:rPr>
        <w:t>This discussion and analysis of our financial condition and results of operations contains the presentation of Adjusted EBITDA, Adjusted Net Loss and Adjusted EPS, which are not presented in accordance with U.S. GAAP. Adjusted EBITDA, Adjusted Net Loss and Adjusted EPS are being presented because they provide the Company and readers of this Form 10-Q with additional insight into our operational performance relative to earlier periods and relative to our competitors. We do not intend Adjusted EBITDA, Adjusted Net Loss and Adjusted EPS to be substitutes for any U.S. GAAP financial information. Readers of this Form 10-Q should use Adjusted EBITDA, Adjusted Net Loss and Adjusted EPS only in conjunction with Net Income (Loss) and Net Income (Loss) per Share, the most comparable U.S. GAAP financial measures. Reconciliations of Adjusted EBITDA, Adjusted Net Loss and Adjusted EPS to Net Income (Loss) and Net Income (Loss) per Share, the most comparable U.S. GAAP measures, are provided in "Non-GAAP Financial Measures" below.</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FTC Solar, Inc. (the “Company”, “we”, “our”, or “us”) was founded in 2017 and is incorporated in the state of Delaware. In April 2021, we completed an initial public offering ("IPO"), and our common stock currently trades on the Nasdaq Capital Market ("Nasdaq") under the symbol “FTCI”.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w:t>
      </w:r>
    </w:p>
    <w:p>
      <w:pPr>
        <w:pStyle w:val="TextBody"/>
        <w:bidi w:val="0"/>
        <w:spacing w:before="240" w:after="283"/>
        <w:jc w:val="both"/>
        <w:rPr>
          <w:rFonts w:ascii="Times New Roman" w:hAnsi="Times New Roman"/>
          <w:sz w:val="20"/>
        </w:rPr>
      </w:pPr>
      <w:bookmarkStart w:id="17" w:name="key_factors"/>
      <w:bookmarkEnd w:id="17"/>
      <w:r>
        <w:rPr>
          <w:rFonts w:ascii="Times New Roman" w:hAnsi="Times New Roman"/>
          <w:color w:val="000000"/>
          <w:sz w:val="20"/>
        </w:rPr>
        <w:br/>
      </w:r>
      <w:r>
        <w:rPr>
          <w:rFonts w:ascii="Times New Roman" w:hAnsi="Times New Roman"/>
          <w:b/>
          <w:color w:val="000000"/>
          <w:sz w:val="20"/>
        </w:rPr>
        <w:t>Key Factors Affecting Our Performance</w:t>
      </w:r>
    </w:p>
    <w:p>
      <w:pPr>
        <w:pStyle w:val="TextBody"/>
        <w:bidi w:val="0"/>
        <w:spacing w:before="240" w:after="283"/>
        <w:jc w:val="both"/>
        <w:rPr>
          <w:rFonts w:ascii="Times New Roman" w:hAnsi="Times New Roman"/>
          <w:sz w:val="20"/>
        </w:rPr>
      </w:pPr>
      <w:r>
        <w:rPr>
          <w:rFonts w:ascii="Times New Roman" w:hAnsi="Times New Roman"/>
          <w:b/>
          <w:i/>
          <w:color w:val="000000"/>
          <w:sz w:val="20"/>
        </w:rPr>
        <w:t>Project Timing.</w:t>
      </w:r>
      <w:r>
        <w:rPr>
          <w:rFonts w:ascii="Times New Roman" w:hAnsi="Times New Roman"/>
          <w:color w:val="000000"/>
          <w:sz w:val="20"/>
        </w:rPr>
        <w:t xml:space="preserve"> Our level of manufacturing and logistics activity, and thus our revenue, can be significantly impacted by delays or changes in the expected timing of customer project development activity. In recent periods our customers have encountered delays in beginning or continuing project development caused by interconnection issues, including permit delays, equipment shortages, obtaining project financing at acceptable levels and addressing uncertainty in changes in government regulations, as described further below. Due to our limited number of large customers, such delays in project development activity can have a material impact on our quarterly and annual consolidated financial results.</w:t>
      </w:r>
    </w:p>
    <w:p>
      <w:pPr>
        <w:pStyle w:val="TextBody"/>
        <w:bidi w:val="0"/>
        <w:spacing w:before="240" w:after="283"/>
        <w:jc w:val="both"/>
        <w:rPr>
          <w:rFonts w:ascii="Times New Roman" w:hAnsi="Times New Roman"/>
          <w:sz w:val="20"/>
        </w:rPr>
      </w:pPr>
      <w:r>
        <w:rPr>
          <w:rFonts w:ascii="Times New Roman" w:hAnsi="Times New Roman"/>
          <w:b/>
          <w:i/>
          <w:color w:val="000000"/>
          <w:sz w:val="20"/>
        </w:rPr>
        <w:t>Government Regulations.</w:t>
      </w:r>
      <w:r>
        <w:rPr>
          <w:rFonts w:ascii="Times New Roman" w:hAnsi="Times New Roman"/>
          <w:color w:val="000000"/>
          <w:sz w:val="20"/>
        </w:rPr>
        <w:t xml:space="preserve"> Changes in the U.S. trade environment, including the imposition of import tariffs, antidumping and countervailing duties ("AD/CVD") investigations and the Uyghur Forced Labor Prevention Act ("UFLPA"), which became effective in June 2022, can have an impact on the timing of developer projects. The UFLPA resulted in new rules for module importers and reviews by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Customs and Border Protection ("CBP"). There continues to be challenges in achieving full compliance with UFLPA, whether related to sufficient traceability of materials or other factors. Escalating trade tensions, particularly between the United States and China, have led to increased tariffs and trade restrictions, including tariffs applicable to certain raw materials and components for our products. We have taken measures with the intention of mitigating the effect of tariffs and the impact of AD/CVD and UFLPA on our business by reducing our reliance on China and enhancing our U.S.-based supply chain, including through our acquisition of Alpha Steel.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2019, 90% of our supply chain was sourced from China. As of June 30, 2026, we have qualified suppliers outside of China for certain of our commodities and we continue to work to have second-source capability for all Chinese-manufactured components to help reduce the extent to which our supply chain for U.S.-based projects is subject to existing tariffs and to be able to quickly address potential future regulatory and governmental policy changes. We have entered into partnerships with manufacturers based in the United States, India, South Africa, Spain, Turkey, Thailand and Vietnam to diversify our supply chain and optimize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6, 2022, President Biden issued an Executive Order allowing U.S. solar deployers to import solar modules and cells from Cambodia, Malaysia, Thailand and Vietnam free from certain duties for 24 months, along with other incentives designed to accelerate U.S. domestic production of clean energy technologies. This moratorium ended in June 2024. The U.S. International Trade Administration and the U.S. International Trade Commission completed a sunset review in October 2024 and decided to continue existing AD/CVD orders on CSPV cells/modules from China resulting in longstanding China tariffs remaining in force. In April 2025, the U.S. Department of Commerce issued final determinations concluding that producers and exporters in Cambodia, Malaysia, Thailand and Vietnam were dumping and/or receiving countervailing subsidies resulting in high tariff rates now applying to many Chinese-owned manufacturers operating in these countries. In addition, in August 2025, the U.S. International Trade Commission issued an affirmative preliminary injury determination on imports of CSPV cells and modules from Laos, Indonesia and India. On April 23, 2026, the U.S. Department of Commerce issued preliminary affirmative antidumping determinations finding that CSPV products from all three countries were being sold in the U.S. at less than fair value. While the investigation by the U.S. Department of Commerce is in the final phase, final orders have not yet been issued and a final injury determination by the U.S. International Trade Commission is currently scheduled for the fourth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on June 3, 2026, President Trump signed an Executive Order, "Strengthening Customs Enforcement" (Executive Order 14411) which directs the U.S. Department of Homeland Security and CBP to take steps to tighten oversight of importers, increase penalties for violations, strengthen anti-fraud measures, and improve duty collection. It is currently uncertain what impact this Executive Order may have, if any, on our ability to import materials needed for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5, 2025, the United States imposed a universal 10% "reciprocal" tariff on most imports into the United States, excluding certain products and certain qualifying imports from Canada and Mexico. Throughout 2025, tariff rates continued to change and fluctuate as negotiations continued between the United States and various countries. As an example, the United States increased the reciprocal tariff rate on China from 10% to 125%, in addition to other tariffs of 20% imposed on China earlier in 2025 and the Section 301 tariffs imposed on many Chinese-origin products during the first Trump Administration, and China imposed a retaliatory 125% tariff on goods imported from the United States in response. In May 2025, the U.S. and China agreed to a 90-day rollback whereby the United States cut the Chinese levies from 145% to 30% and China lowered the duties on U.S. goods from 125% to 10%, effective May 14, 2025. This rollback period was subsequently extended through November 10, 2026. New reciprocal tariffs were also announced on selected countries that were well above the universal 10% tariff rate. On February 20, 2026, the U.S. Supreme Court rejected the Trump Administration's use of the International Emergency Economic Powers Act ("IEEPA") as a basis for the imposition of tariffs and, as a result of that ruling, during Q2 2026, the U.S. government implemented initial mechanisms allowing importers to seek recovery of tariffs previously imposed under IEEPA authorities. Following the ruling by the U.S. Supreme Court, the Trump Administration announced it would utilize authority under Section 122 of the Trade Act of 1974 to implement tariffs of up to 15% for a limited period of time without U.S. Congressional approval and may ultimately replace such tariffs with longer-lasting authority under Section 301 of the Trade Act. On May 7, 2026, the U.S. Court of International Trade (the "CIT") held that Proclamation 11012, which imposed the Section 122 tariffs, was invalid. The U.S. government appealed the decision and on June 11, 2026, the Federal Court stayed the CIT decision pending appeal, allowing for CBP to continue to collect the tariffs. As of the filing of this Quarterly Report, matters involving tariffs continue to evolve and change. Depending on the terms of our existing contracts with customers, we may not in all cases be able to fully recover the increased cost for delivery of tracker systems currently being manufactured for our customers by our international vendors due to higher tariffs currently in place or that may be imposed in the future, which has and may continue to impact our expected profitability under certain contracts. Imposition of new or higher tariffs could also adversely affect the amount or timing of our future revenue, results of operations or 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most notable incentive program impacting our U.S. business has historically been the ITC for solar energy projects, which allows taxpayers to offset their U.S. federal income tax liability by a certain percentage of their cost basis in solar energy systems placed in service for commercial use, subject to compliance with applicable prevailing wage and apprenticeship requirements. The Inflation Reduction Act of 2022 ("IRA"), passed by the U.S. Congress and signed into law by then-President Biden on August 16, 2022, expanded and extended the tax credits and other tax benefits available to solar energy projects and the solar energy supply chain. U.S. manufacturers of specific solar components also became eligible to claim production tax credits under Section 45X of the Internal Revenue Code of 1986, as amended, which was established as part of the IRA and is a per-unit tax credit earned for each clean energy component manufactured domestically and sold by a manufacturer. Our acquisition of Alpha Steel allows us to continue for a longer period of time to obtain benefits of lower product costs as a result of the production tax credit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4, 2025, President Trump signed into law the One Big Beautiful Bill Act, which accelerated the phase-out and termination of various eligible federal tax credits enacted as part of the IRA.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reduction, elimination or expiration of government incentives for, or regulations mandating the use of, as well as corporate commitments to the use of renewable energy and solar energy specifically, could reduce demand for solar energy systems and harm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Disruptions in Transportation and Supply Chain.</w:t>
      </w:r>
      <w:r>
        <w:rPr>
          <w:rFonts w:ascii="Times New Roman" w:hAnsi="Times New Roman"/>
          <w:color w:val="000000"/>
          <w:sz w:val="20"/>
        </w:rPr>
        <w:t xml:space="preserve"> Our costs are affected by the costs of certain components and materials, such as steel, motors and micro-chips, as well as transportation costs. Capacity constraints, particularly with regard to U.S. manufactured steel output, current market conditions, extreme adverse weather events and international conflicts may constrain the supply of materials and disrupt the flow of materials from international vendors, which could impact the cost of our products and services, along with overall rates of inflation in the global economy. For example, the war with Iran has led to recent increases in the price of oil which can affect transportation costs we are required to pay for delivery of materials to our customers that we may not be able to recover under the terms of our contracts. While inflation rates and certain costs have moderated in recent years, the overall level of various other costs, including fuel costs, continues to fluctuate and be elevated. Although we don't believe inflation has had a material impact on our results as presented in this report, such cost increases and decreases could impact our future operating margins, if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taken steps to expand and diversify our manufacturing partnerships and have adjusted our modes of transportation to mitigate the impact of headwinds that might arise in the global supply chain and logistics markets. We continue to monitor the logistics markets and will continue to evaluate our use of various modes of transportation when warranted to optimize our transportation costs. We also intend to maintain our focus on our design-to-value initiative to continue to improve margins by reducing the manufacturing and material costs of our products.</w:t>
      </w:r>
    </w:p>
    <w:p>
      <w:pPr>
        <w:pStyle w:val="TextBody"/>
        <w:bidi w:val="0"/>
        <w:spacing w:before="240" w:after="283"/>
        <w:jc w:val="both"/>
        <w:rPr>
          <w:rFonts w:ascii="Times New Roman" w:hAnsi="Times New Roman"/>
          <w:sz w:val="20"/>
        </w:rPr>
      </w:pPr>
      <w:r>
        <w:rPr>
          <w:rFonts w:ascii="Times New Roman" w:hAnsi="Times New Roman"/>
          <w:b/>
          <w:i/>
          <w:color w:val="000000"/>
          <w:sz w:val="20"/>
        </w:rPr>
        <w:t>Megawatts ("MW") Produced and MW Shipped and Average Selling Price ("ASP").</w:t>
      </w:r>
      <w:r>
        <w:rPr>
          <w:rFonts w:ascii="Times New Roman" w:hAnsi="Times New Roman"/>
          <w:color w:val="000000"/>
          <w:sz w:val="20"/>
        </w:rPr>
        <w:t xml:space="preserve"> The primary operating metrics we use to evaluate our sales performance and to track market acceptance of our products are the change in quantity of MW produced and MW shipped from period to period. MW are measured for each individual project and are calculated based on the expected output of that project once installed and fully operational. We also utilize metrics related to price and cost of goods sold per watt, including the change in ASP from period to period and cost per watt. ASP is calculated by dividing product and service revenue by total watts produced or shipped and product and service cost per watt is calculated by dividing product or service costs of revenue by total watts produced or shipped. These metrics enable us to evaluate trends in pricing, manufacturing and logistics costs and profitability. Events such as the COVID-19 pandemic, global inflation rates, high interest rates and international conflicts have in the past impacted and may continue to impact the U.S. economy, global supply chains, and our business. These impacts can cause significant project development and shipping delays and cost increases, as well as offsetting ASP increases, and also raise the price of inputs like steel and logistics, affecting our cost per watt. Competitive tracker pricing pressures can also impact our ASP, and thus our profitability, by limiting our ability to raise prices to offset cost increases.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Investment in Technology and Personnel. </w:t>
      </w:r>
      <w:r>
        <w:rPr>
          <w:rFonts w:ascii="Times New Roman" w:hAnsi="Times New Roman"/>
          <w:color w:val="000000"/>
          <w:sz w:val="20"/>
        </w:rPr>
        <w:t>We invest in both the people and technology behind our products. We intend to continue making investments in the technology for our products and expansion of our patent portfolio to attract and retain customers, expand the capabilities and scope of our products, and enhance user experience. As an example, during 2025, we (i) introduced a dual row configuration for our 1P Pioneer tracker for improved slope tolerance and working with complex project landscapes, (ii) released our Pioneer+ High Wind tracker, which is engineered to withstand wind speeds up to 150 miles per hour, and (iii) launched an automated 80° high angle stow capability in our Pioneer trackers to provide improved protection in hail-prone regions.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intend over time to make additional investments to attract and retain employees in key positions, including sales leads, engineers, software developers, quality assurance personnel, supply chain personnel, product management, and operations personnel, to help us drive further efficiencies across our marketplace and, in the case of sales leads, to continue to enhance and diversify our sales capabilities, including international expansion.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Impact of Climate Change. </w:t>
      </w:r>
      <w:r>
        <w:rPr>
          <w:rFonts w:ascii="Times New Roman" w:hAnsi="Times New Roman"/>
          <w:color w:val="000000"/>
          <w:sz w:val="20"/>
        </w:rPr>
        <w:t>Climate change has primarily impacted our business operations by increasing demand for solar power generation and, as a result, for use of our products. The U.S. Energy Information Administration, in its July 2026 Short-Term Energy Outlook, indicates that solar remains one of the fastest-growing generation sources in the U.S. power mix and estimates that solar generation, as a percent of total U.S. electricity generation, will continue to increase during 2026 and 2027, in relation to prior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climate change has not resulted in any material negative impact to our operations to date, we recognize the risk of disruptions to our supply chain due to extreme weather events. This, among other things, has led us to expand the diversity of our supplier base and to partner with more local suppliers to reduce shipping and transportation needs. We are also increasingly partnering with larger scale steel producers rather than smaller suppliers to facilitate scaling of our operations while remaining conscious of the environmental impacts of steel manufacturing as the regulatory landscape around these high-emitting industries evolves. An example of this strategy is our acquisition of Alpha Steel.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attempt to mitigate the climate-related risks from the use of our products by designing our equipment and systems to have a high-slope tolerance and wind mitigation capabilities, while at the same time reducing the required foundation/pile count needed. This allows our trackers to be installed in increasingly hostile environments with minimal disturbance to the surrounding land.</w:t>
      </w:r>
    </w:p>
    <w:p>
      <w:pPr>
        <w:pStyle w:val="TextBody"/>
        <w:bidi w:val="0"/>
        <w:spacing w:before="240" w:after="283"/>
        <w:jc w:val="both"/>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See "Liquidity and Capital Resources" below for a discussion of the impact of the items above on our liquidity position.</w:t>
      </w:r>
    </w:p>
    <w:p>
      <w:pPr>
        <w:pStyle w:val="TextBody"/>
        <w:bidi w:val="0"/>
        <w:spacing w:before="24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discussion describes certain line items in our Condensed Consolidated Statements of Comprehensive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the sale of our solar tracker systems and customized components of those systems is recognized over time, as work progresses, utilizing an input measure of progress determined by cost incurred to date relative to total expected cost on these projects to correlate with our performance in transferring control over the tracker systems and their components. Revenue from the sale of individual parts is recognized at a point in time as and when control transfers based on the terms of the contract. Revenue from sale of term-based software licenses is recognized upon transfer of control to the customer. Revenue for shipping and handling services is recognized over time based on progress in meeting shipping terms of the arrangements. Revenue for stand-alone engineering consulting and pile testing services is recognized at a point in time upon completion of the services performed. Subscription revenue, which is derived from our subscription-based enterprise licensing model, and support revenue, which is derived from ongoing security updates and maintenance, are generally recognized on a straight-line basis over the term of the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customers include project developers, solar asset owners and EPCs that design and build solar energy projects. For each individual solar project, we enter into a contract with our customers covering the price, specifications, delivery dates and warranty for the products being purchased, among other things. Our contractual delivery period for our solar tracker systems and related parts can vary depending on the size of the project and availability of vessels and other means of delivery. Contracts can range in value from tens of thousands to tens of millions of dollars.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is affected by changes in the volume and ASP of our solar tracking systems purchased by our customers and volume of sales of software products and engineering services, among other things. The ASP of our solar tracker systems and volume of sales is driven by the supply of, and demand for, our products, changes in product mix, geographic mix of our customers, strength of competitors’ product offerings, import tariffs and other import restrictions, supply chain issues and availability of government incentives to the end-users of our products. Additionally, our revenue may be impacted by seasonality due to cold weather, which can cause variability in site construction activity.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periods included in this Quarterly Report, no company locations other than in the United States and Australia accounted for more than 10% of our consolidated revenue. Our revenue growth is dependent on continued growth in the number of solar tracker projects and engineering services we win in competitive bidding processes and growth in our software sales each year, as well as our ability to increase our market share in each of the geographies in which we currently compete, expand our global footprint to new emerging markets, grow our production capabilities to meet demand and continue to develop and introduce new and innovative products that address the changing technology and performance requirements of our customers, among other things.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 and gross profit (loss)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certain cases, we subcontract with third-party manufacturers to manufacture and deliver our products directly to our customers, although with our acquisition of Alpha Steel, we now have the ability to manufacture and deliver certain products to our domestic customers seeking U.S.-based content. Our product costs are affected by the underlying cost of raw materials procured by Alpha Steel and our other contract manufacturing partners, including steel and aluminum; component costs, including electric motors and gearboxes; technological innovation in manufacturing processes; and our ability to achieve economies of scale resulting in lower component costs. We do not currently hedge against changes in the price of raw materials, but we continue to explore opportunities to mitigate the risks of foreign currency and commodity fluctuations through the use of hedges and foreign exchange lines of credit. Some of these costs, primarily personnel, are not directly affected by sales volume.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and 2025, we added new employees in certain areas in response to current project activity levels. Certain of our headcount changes also reflect a shift of our employee base to more cost-effective markets with exceptional talent. Our gross profit may vary period-to-period due to changes in our headcount, ASP, product costs, product versus service mix, customer mix, geographical mix, shipping methods, warranty costs and seasonality.</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expenses consist of research and development expenses, selling and marketing expenses and general and administrative expenses. Personnel-related costs are the most significant component of our operating expenses and include salaries, benefits, bonuses, commissions and stock-based compensation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operating costs have been impacted by (i) changes in headcount as described above, (ii) our level of research activities to originate, develop and enhance our products, (iii) our sales and marketing efforts as we expand our outreach to existing customers and seek to identify new opportunities domestically and internationally, (iv) changes in our estimates of credit losses relating to certain specific customers, and (v) variations in legal and professional fees, compliance costs, insurance, facility costs and other costs associated with strategic changes in response to changing market conditions and other matters.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 - Three Months Ended June 30, 2026 Compared to Three Months Ended June 30, 2025</w:t>
      </w:r>
    </w:p>
    <w:tbl>
      <w:tblPr>
        <w:tblW w:w="10205" w:type="dxa"/>
        <w:jc w:val="left"/>
        <w:tblInd w:w="0" w:type="dxa"/>
        <w:tblLayout w:type="fixed"/>
        <w:tblCellMar>
          <w:top w:w="28" w:type="dxa"/>
          <w:left w:w="28" w:type="dxa"/>
          <w:bottom w:w="28" w:type="dxa"/>
          <w:right w:w="28" w:type="dxa"/>
        </w:tblCellMar>
      </w:tblPr>
      <w:tblGrid>
        <w:gridCol w:w="3349"/>
        <w:gridCol w:w="146"/>
        <w:gridCol w:w="211"/>
        <w:gridCol w:w="736"/>
        <w:gridCol w:w="166"/>
        <w:gridCol w:w="146"/>
        <w:gridCol w:w="279"/>
        <w:gridCol w:w="1207"/>
        <w:gridCol w:w="313"/>
        <w:gridCol w:w="146"/>
        <w:gridCol w:w="211"/>
        <w:gridCol w:w="736"/>
        <w:gridCol w:w="166"/>
        <w:gridCol w:w="146"/>
        <w:gridCol w:w="301"/>
        <w:gridCol w:w="1185"/>
        <w:gridCol w:w="761"/>
      </w:tblGrid>
      <w:tr>
        <w:trPr/>
        <w:tc>
          <w:tcPr>
            <w:tcW w:w="3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Atlas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generate our revenue in two streams – Product revenue and Service revenue. Product revenue is derived from the sale of solar tracker systems and customized components for those systems, individual part sales for certain specific transactions and the sale of term-based software licenses. Service revenue includes revenue from shipping and handling services, engineering consulting and pile testing services, our subscription-based enterprise licensing model and maintenance and support services in connection with the term-based software licenses.</w:t>
      </w:r>
    </w:p>
    <w:tbl>
      <w:tblPr>
        <w:tblW w:w="6305" w:type="dxa"/>
        <w:jc w:val="left"/>
        <w:tblInd w:w="0" w:type="dxa"/>
        <w:tblLayout w:type="fixed"/>
        <w:tblCellMar>
          <w:top w:w="28" w:type="dxa"/>
          <w:left w:w="28" w:type="dxa"/>
          <w:bottom w:w="28" w:type="dxa"/>
          <w:right w:w="28" w:type="dxa"/>
        </w:tblCellMar>
      </w:tblPr>
      <w:tblGrid>
        <w:gridCol w:w="1346"/>
        <w:gridCol w:w="146"/>
        <w:gridCol w:w="211"/>
        <w:gridCol w:w="676"/>
        <w:gridCol w:w="146"/>
        <w:gridCol w:w="146"/>
        <w:gridCol w:w="211"/>
        <w:gridCol w:w="676"/>
        <w:gridCol w:w="146"/>
        <w:gridCol w:w="146"/>
        <w:gridCol w:w="214"/>
        <w:gridCol w:w="582"/>
        <w:gridCol w:w="166"/>
        <w:gridCol w:w="146"/>
        <w:gridCol w:w="207"/>
        <w:gridCol w:w="664"/>
        <w:gridCol w:w="476"/>
      </w:tblGrid>
      <w:tr>
        <w:trPr/>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product revenue for the three months ended June 30, 2026, as compared to the three months ended June 30, 2025, was primarily due to an increase of 56% in the amount of MW produced due mainly to project size and timing. This was partially offset by a decrease of 10% in ASP for the three months ended June 30, 2026, resulting from project mix changes as compared to the three months ended June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Service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in service revenue for the three months ended June 30, 2026, as compared to the three months ended June 30, 2025, primarily resulted from a decrease of 37% in logistics activity levels due to timing of shipments. This was largely offset by an increase of 44% in ASP as compared to the three months ended June 30, 2025 as a result of project size and pricing.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 and gross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revenue consists primarily of costs related to raw materials, equipment manufacturing activities, net of incentives earned, freight and delivery, tariffs, product warranty, remediation and personnel costs (salaries, bonuses, benefits, and stock-based compensation). Personnel costs in cost of revenue include both direct labor costs, as well as costs attributable to any individuals whose activities relate to the procurement, installment and delivery of the finished product and services.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Gross loss may vary from period-to-period and is primarily affected by our ASP, product costs, timing of tracker production and delivery, customer mix, geographical mix, shipping method, logistics costs, warranty costs, indirect cost control efforts and seasonality.</w:t>
      </w:r>
    </w:p>
    <w:tbl>
      <w:tblPr>
        <w:tblW w:w="8376" w:type="dxa"/>
        <w:jc w:val="left"/>
        <w:tblInd w:w="0" w:type="dxa"/>
        <w:tblLayout w:type="fixed"/>
        <w:tblCellMar>
          <w:top w:w="28" w:type="dxa"/>
          <w:left w:w="28" w:type="dxa"/>
          <w:bottom w:w="28" w:type="dxa"/>
          <w:right w:w="28" w:type="dxa"/>
        </w:tblCellMar>
      </w:tblPr>
      <w:tblGrid>
        <w:gridCol w:w="2961"/>
        <w:gridCol w:w="146"/>
        <w:gridCol w:w="211"/>
        <w:gridCol w:w="676"/>
        <w:gridCol w:w="331"/>
        <w:gridCol w:w="146"/>
        <w:gridCol w:w="211"/>
        <w:gridCol w:w="676"/>
        <w:gridCol w:w="331"/>
        <w:gridCol w:w="146"/>
        <w:gridCol w:w="211"/>
        <w:gridCol w:w="631"/>
        <w:gridCol w:w="166"/>
        <w:gridCol w:w="146"/>
        <w:gridCol w:w="189"/>
        <w:gridCol w:w="682"/>
        <w:gridCol w:w="516"/>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Gross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loss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cost of revenue for the three months ended June 30, 2026, as compared to the three months ended June 30, 2025, was primarily driven by an increase of 56% in MW produced and the inclusion of additional costs for Alpha Steel as Alpha Steel is now a wholly owned subsidiary. This was partially offset by a decrease of 37% in logistics activity levels and lower tariffs. In addition, we incurred additional costs during the three months ended June 30, 2025 associated with specified minimum purchase commitments with Alpha Steel that did not reoccur during the three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gross margin percentage of revenue for the three months ended June 30, 2026 was a negative 8.5%, compared to a negative 19.6% for the three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negative gross margin for the three months ended June 30, 2026 due mainly to the inclusion of additional costs for Alpha Steel as Alpha Steel is now a wholly owned subsidiary and lower product ASP.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negative gross margin for the three months ended June 30, 2025 due mainly to the impact of additional costs associated with specified minimum purchase commitments with Alpha Steel, as described above and higher tariffs.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Research and development expenses consist primarily of salaries, employee benefits, stock-based compensation expense and travel expense related to our engineers performing research and development activities to originate, develop and enhance our products. Additional expenses include consulting charges, component purchases and other costs for performing research and development on our software products.</w:t>
      </w:r>
    </w:p>
    <w:tbl>
      <w:tblPr>
        <w:tblW w:w="6880"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318"/>
        <w:gridCol w:w="478"/>
        <w:gridCol w:w="146"/>
        <w:gridCol w:w="146"/>
        <w:gridCol w:w="250"/>
        <w:gridCol w:w="621"/>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research and development expenses for the three months ended June 30, 2026, as compared to the three months ended June 30, 2025, was primarily attributable to higher stock-based compensation costs of $0.1 million due to recent grants of new awards. Research and development expenses as a percentage of revenue were 4.6% for the three months ended June 30, 2026, as compared to 5.6% for the three months ended June 30,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and marketing</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Selling and marketing expenses consist primarily of salaries, employee benefits, stock-based compensation expense and travel expense related to our sales and marketing and business development personnel. Additionally, selling and marketing expenses include costs associated with professional fees and support charges for software subscriptions and licenses, trade shows and conventions. </w:t>
      </w:r>
    </w:p>
    <w:tbl>
      <w:tblPr>
        <w:tblW w:w="6490" w:type="dxa"/>
        <w:jc w:val="left"/>
        <w:tblInd w:w="0" w:type="dxa"/>
        <w:tblLayout w:type="fixed"/>
        <w:tblCellMar>
          <w:top w:w="28" w:type="dxa"/>
          <w:left w:w="28" w:type="dxa"/>
          <w:bottom w:w="28" w:type="dxa"/>
          <w:right w:w="28" w:type="dxa"/>
        </w:tblCellMar>
      </w:tblPr>
      <w:tblGrid>
        <w:gridCol w:w="1921"/>
        <w:gridCol w:w="146"/>
        <w:gridCol w:w="211"/>
        <w:gridCol w:w="571"/>
        <w:gridCol w:w="146"/>
        <w:gridCol w:w="146"/>
        <w:gridCol w:w="211"/>
        <w:gridCol w:w="571"/>
        <w:gridCol w:w="146"/>
        <w:gridCol w:w="146"/>
        <w:gridCol w:w="265"/>
        <w:gridCol w:w="531"/>
        <w:gridCol w:w="146"/>
        <w:gridCol w:w="146"/>
        <w:gridCol w:w="207"/>
        <w:gridCol w:w="664"/>
        <w:gridCol w:w="31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selling and marketing expenses for the three months ended June 30, 2026, as compared to the three months ended June 30, 2025, was primarily attributable to (i) higher payroll costs of $0.8 million due to higher headcount levels, (ii) higher travel costs of $0.2 million, and (iii) higher professional service costs of $0.1 million. This was partially offset by lower credit loss provisions of $0.3 million. Selling and marketing costs as a percentage of revenue were 7.9% for the three months ended June 30, 2026, compared to 6.5% for the three months ended June 30,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General and administrative expenses consist primarily of salaries, employee benefits, stock-based compensation expense and travel expense related to our executives, finance team, and administrative employees. It also consists of legal, consulting, and professional fees, rent and lease expense pertaining to our headquarters and international offices, business insurance costs and certain other costs.</w:t>
      </w:r>
    </w:p>
    <w:tbl>
      <w:tblPr>
        <w:tblW w:w="6880"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4"/>
        <w:gridCol w:w="582"/>
        <w:gridCol w:w="146"/>
        <w:gridCol w:w="146"/>
        <w:gridCol w:w="207"/>
        <w:gridCol w:w="664"/>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general and administrative expenses for the three months ended June 30, 2026, as compared to the three months ended June 30, 2025, was primarily attributable to (i) higher payroll expense of $1.2 million, due mainly to CEO transition costs in April 2026, (ii) higher stock-based compensation expense of $0.7 million as a result of (a) new award grants and (b) the impact of certain executive award forfeitures during the three months ended June 30, 2025, (iii) higher professional service costs of $0.4 million, largely attributable to increased legal fees and (iv) increased travel, insurance, depreciation and other operating costs. General and administrative expenses as a percentage of revenue were 31.4% for the three months ended June 30, 2026, compared to 25.8% for the three months ended June 30, 2025.</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Interest expense</w:t>
      </w:r>
    </w:p>
    <w:tbl>
      <w:tblPr>
        <w:tblW w:w="5845" w:type="dxa"/>
        <w:jc w:val="left"/>
        <w:tblInd w:w="0" w:type="dxa"/>
        <w:tblLayout w:type="fixed"/>
        <w:tblCellMar>
          <w:top w:w="28" w:type="dxa"/>
          <w:left w:w="28" w:type="dxa"/>
          <w:bottom w:w="28" w:type="dxa"/>
          <w:right w:w="28" w:type="dxa"/>
        </w:tblCellMar>
      </w:tblPr>
      <w:tblGrid>
        <w:gridCol w:w="1426"/>
        <w:gridCol w:w="146"/>
        <w:gridCol w:w="211"/>
        <w:gridCol w:w="571"/>
        <w:gridCol w:w="146"/>
        <w:gridCol w:w="146"/>
        <w:gridCol w:w="211"/>
        <w:gridCol w:w="421"/>
        <w:gridCol w:w="146"/>
        <w:gridCol w:w="146"/>
        <w:gridCol w:w="214"/>
        <w:gridCol w:w="582"/>
        <w:gridCol w:w="146"/>
        <w:gridCol w:w="146"/>
        <w:gridCol w:w="177"/>
        <w:gridCol w:w="694"/>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Interest expense is related mainly to our outstanding debt and consisted of the following:</w:t>
      </w:r>
    </w:p>
    <w:tbl>
      <w:tblPr>
        <w:tblW w:w="7771" w:type="dxa"/>
        <w:jc w:val="left"/>
        <w:tblInd w:w="0" w:type="dxa"/>
        <w:tblLayout w:type="fixed"/>
        <w:tblCellMar>
          <w:top w:w="28" w:type="dxa"/>
          <w:left w:w="28" w:type="dxa"/>
          <w:bottom w:w="28" w:type="dxa"/>
          <w:right w:w="28" w:type="dxa"/>
        </w:tblCellMar>
      </w:tblPr>
      <w:tblGrid>
        <w:gridCol w:w="5071"/>
        <w:gridCol w:w="146"/>
        <w:gridCol w:w="277"/>
        <w:gridCol w:w="749"/>
        <w:gridCol w:w="217"/>
        <w:gridCol w:w="191"/>
        <w:gridCol w:w="277"/>
        <w:gridCol w:w="552"/>
        <w:gridCol w:w="2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and exit fee non-cash interest added to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 in cash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accrued interest from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included in accounts payable and other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Loss from change in fair value of warrant liability</w:t>
      </w:r>
    </w:p>
    <w:tbl>
      <w:tblPr>
        <w:tblW w:w="8921" w:type="dxa"/>
        <w:jc w:val="left"/>
        <w:tblInd w:w="0" w:type="dxa"/>
        <w:tblLayout w:type="fixed"/>
        <w:tblCellMar>
          <w:top w:w="28" w:type="dxa"/>
          <w:left w:w="28" w:type="dxa"/>
          <w:bottom w:w="28" w:type="dxa"/>
          <w:right w:w="28" w:type="dxa"/>
        </w:tblCellMar>
      </w:tblPr>
      <w:tblGrid>
        <w:gridCol w:w="4126"/>
        <w:gridCol w:w="146"/>
        <w:gridCol w:w="211"/>
        <w:gridCol w:w="631"/>
        <w:gridCol w:w="166"/>
        <w:gridCol w:w="146"/>
        <w:gridCol w:w="211"/>
        <w:gridCol w:w="631"/>
        <w:gridCol w:w="166"/>
        <w:gridCol w:w="146"/>
        <w:gridCol w:w="211"/>
        <w:gridCol w:w="631"/>
        <w:gridCol w:w="166"/>
        <w:gridCol w:w="146"/>
        <w:gridCol w:w="177"/>
        <w:gridCol w:w="694"/>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New Warrants issued in connection with the Credit Agreement, as described further in Note 11, "Debt" in our Condensed Consolidated Financial Statements included in Part I, Item 1 of this Quarterly Report, are classified as a long-term liability. Due largely to an increase in the price of our common stock during the three months ended June 30, 2026, the fair value of the New Warrants increased from $25.8 million at March 31, 2026 to $34.7 million as of June 30, 2026, resulting in recognition of a non-cash loss during the three months ended June 30, 2026.</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Loss from unconsolidated subsidiary</w:t>
      </w:r>
    </w:p>
    <w:tbl>
      <w:tblPr>
        <w:tblW w:w="7440" w:type="dxa"/>
        <w:jc w:val="left"/>
        <w:tblInd w:w="0" w:type="dxa"/>
        <w:tblLayout w:type="fixed"/>
        <w:tblCellMar>
          <w:top w:w="28" w:type="dxa"/>
          <w:left w:w="28" w:type="dxa"/>
          <w:bottom w:w="28" w:type="dxa"/>
          <w:right w:w="28" w:type="dxa"/>
        </w:tblCellMar>
      </w:tblPr>
      <w:tblGrid>
        <w:gridCol w:w="3106"/>
        <w:gridCol w:w="146"/>
        <w:gridCol w:w="211"/>
        <w:gridCol w:w="346"/>
        <w:gridCol w:w="146"/>
        <w:gridCol w:w="146"/>
        <w:gridCol w:w="211"/>
        <w:gridCol w:w="481"/>
        <w:gridCol w:w="166"/>
        <w:gridCol w:w="146"/>
        <w:gridCol w:w="265"/>
        <w:gridCol w:w="531"/>
        <w:gridCol w:w="146"/>
        <w:gridCol w:w="146"/>
        <w:gridCol w:w="163"/>
        <w:gridCol w:w="708"/>
        <w:gridCol w:w="37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11, 2025, we entered into a Membership Interest Purchase Agreement with the other equity holders of Alpha Steel pursuant to which we acquired 100% of the membership interests in Alpha Steel, effective November 12, 2025. As a result, Alpha Steel is now our wholly owned subsidiary and the financial results of Alpha Steel since November 12, 2025 have been included in our consolidated results. Prior to November 12, 2025, we held a 45% interest in Alpha Steel, which we accounted for under the equity method of accounting. The loss from unconsolidated subsidiary for the three months ended June 30, 2025 represented our share of the net operating results incurred by Alpha Steel during that period.</w:t>
      </w:r>
    </w:p>
    <w:p>
      <w:pPr>
        <w:pStyle w:val="TextBody"/>
        <w:bidi w:val="0"/>
        <w:jc w:val="both"/>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 - Six Months Ended June 30, 2026 Compared to Six Months Ended June 30, 2025</w:t>
      </w:r>
    </w:p>
    <w:tbl>
      <w:tblPr>
        <w:tblW w:w="10205" w:type="dxa"/>
        <w:jc w:val="left"/>
        <w:tblInd w:w="0" w:type="dxa"/>
        <w:tblLayout w:type="fixed"/>
        <w:tblCellMar>
          <w:top w:w="28" w:type="dxa"/>
          <w:left w:w="28" w:type="dxa"/>
          <w:bottom w:w="28" w:type="dxa"/>
          <w:right w:w="28" w:type="dxa"/>
        </w:tblCellMar>
      </w:tblPr>
      <w:tblGrid>
        <w:gridCol w:w="3592"/>
        <w:gridCol w:w="146"/>
        <w:gridCol w:w="211"/>
        <w:gridCol w:w="736"/>
        <w:gridCol w:w="166"/>
        <w:gridCol w:w="146"/>
        <w:gridCol w:w="278"/>
        <w:gridCol w:w="1094"/>
        <w:gridCol w:w="304"/>
        <w:gridCol w:w="146"/>
        <w:gridCol w:w="211"/>
        <w:gridCol w:w="736"/>
        <w:gridCol w:w="166"/>
        <w:gridCol w:w="146"/>
        <w:gridCol w:w="278"/>
        <w:gridCol w:w="1094"/>
        <w:gridCol w:w="755"/>
      </w:tblGrid>
      <w:tr>
        <w:trPr/>
        <w:tc>
          <w:tcPr>
            <w:tcW w:w="3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Atlas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tbl>
      <w:tblPr>
        <w:tblW w:w="6225" w:type="dxa"/>
        <w:jc w:val="left"/>
        <w:tblInd w:w="0" w:type="dxa"/>
        <w:tblLayout w:type="fixed"/>
        <w:tblCellMar>
          <w:top w:w="28" w:type="dxa"/>
          <w:left w:w="28" w:type="dxa"/>
          <w:bottom w:w="28" w:type="dxa"/>
          <w:right w:w="28" w:type="dxa"/>
        </w:tblCellMar>
      </w:tblPr>
      <w:tblGrid>
        <w:gridCol w:w="1346"/>
        <w:gridCol w:w="146"/>
        <w:gridCol w:w="211"/>
        <w:gridCol w:w="676"/>
        <w:gridCol w:w="146"/>
        <w:gridCol w:w="146"/>
        <w:gridCol w:w="211"/>
        <w:gridCol w:w="676"/>
        <w:gridCol w:w="146"/>
        <w:gridCol w:w="146"/>
        <w:gridCol w:w="214"/>
        <w:gridCol w:w="582"/>
        <w:gridCol w:w="146"/>
        <w:gridCol w:w="146"/>
        <w:gridCol w:w="207"/>
        <w:gridCol w:w="664"/>
        <w:gridCol w:w="416"/>
      </w:tblGrid>
      <w:tr>
        <w:trPr/>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product revenue for the six months ended June 30, 2026, as compared to the six months ended June 30, 2025, was primarily due to an increase of 3% in ASP, which was mostly offset by a decrease of 3% in the amount of MW produced.</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Service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service revenue for the six months ended June 30, 2026, as compared to the six months ended June 30, 2025, primarily resulted from (i) an increase of 25% in ASP as compared to the six months ended June 30, 2025 as a result of project size and pricing, and (ii) an increase of 10% in logistics activity levels.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 and gross loss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Gross loss may vary from period-to-period and is primarily affected by our ASP, product costs, timing of tracker production and delivery, customer mix, geographical mix, shipping method, logistics costs, warranty costs, indirect cost control efforts and seasonality.</w:t>
      </w:r>
    </w:p>
    <w:tbl>
      <w:tblPr>
        <w:tblW w:w="8436" w:type="dxa"/>
        <w:jc w:val="left"/>
        <w:tblInd w:w="0" w:type="dxa"/>
        <w:tblLayout w:type="fixed"/>
        <w:tblCellMar>
          <w:top w:w="28" w:type="dxa"/>
          <w:left w:w="28" w:type="dxa"/>
          <w:bottom w:w="28" w:type="dxa"/>
          <w:right w:w="28" w:type="dxa"/>
        </w:tblCellMar>
      </w:tblPr>
      <w:tblGrid>
        <w:gridCol w:w="2961"/>
        <w:gridCol w:w="146"/>
        <w:gridCol w:w="211"/>
        <w:gridCol w:w="676"/>
        <w:gridCol w:w="331"/>
        <w:gridCol w:w="146"/>
        <w:gridCol w:w="211"/>
        <w:gridCol w:w="676"/>
        <w:gridCol w:w="331"/>
        <w:gridCol w:w="146"/>
        <w:gridCol w:w="211"/>
        <w:gridCol w:w="631"/>
        <w:gridCol w:w="166"/>
        <w:gridCol w:w="146"/>
        <w:gridCol w:w="207"/>
        <w:gridCol w:w="664"/>
        <w:gridCol w:w="576"/>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Gross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loss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in cost of revenue for the six months ended June 30, 2026, as compared to the six months ended June 30, 2025, was primarily driven by additional costs incurred during the three months ended June 30, 2025 associated with specified minimum purchase commitments with Alpha Steel that did not reoccur during the three months ended June 30, 2026. This was partially offset by (i) additional costs related to the inclusion of Alpha Steel as a wholly owned subsidiary, (ii) higher warranty expense, and (iii) an increase in stock-based compensation expense and other indirect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gross margin percentage of revenue for the six months ended June 30, 2026 was a negative 8.0%, compared to a negative 18.1% for the six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negative gross margin for the six months ended June 30, 2026 due mainly to (i) additional costs related to the inclusion of Alpha Steel as a wholly owned subsidiary, (ii) higher warranty expense, and (iii) an increase in stock-based compensation expense and other indirect costs. These costs were partially offset by higher ASP for both service and product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negative gross margin for the six months ended June 30, 2025 as revenue levels were not sufficient to cover certain overhead costs, including costs associated with minimum purchase commitments with Alpha Steel, prior to obtaining control of this entity, and due to the impact of increased tariffs and freight costs.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Research and development</w:t>
      </w:r>
    </w:p>
    <w:tbl>
      <w:tblPr>
        <w:tblW w:w="6880"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65"/>
        <w:gridCol w:w="531"/>
        <w:gridCol w:w="146"/>
        <w:gridCol w:w="146"/>
        <w:gridCol w:w="207"/>
        <w:gridCol w:w="664"/>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research and development expenses for the six months ended June 30, 2026, as compared to the six months ended June 30, 2025, was primarily attributable to (i) higher spending on lab and other research activities totaling $0.2 million. and (ii) higher stock-based compensation costs of $0.2 million due to recent grants of new awards. This was partially offset by lower payroll-related costs of $0.2 million, largely related to lower incentive compensation during the six months ended June 30, 2026. Research and development expenses as a percentage of revenue were 5.4% for the six months ended June 30, 2026, as compared to 5.0% for the six months ended June 30, 2025.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Selling and marketing</w:t>
      </w:r>
    </w:p>
    <w:tbl>
      <w:tblPr>
        <w:tblW w:w="6490" w:type="dxa"/>
        <w:jc w:val="left"/>
        <w:tblInd w:w="0" w:type="dxa"/>
        <w:tblLayout w:type="fixed"/>
        <w:tblCellMar>
          <w:top w:w="28" w:type="dxa"/>
          <w:left w:w="28" w:type="dxa"/>
          <w:bottom w:w="28" w:type="dxa"/>
          <w:right w:w="28" w:type="dxa"/>
        </w:tblCellMar>
      </w:tblPr>
      <w:tblGrid>
        <w:gridCol w:w="1921"/>
        <w:gridCol w:w="146"/>
        <w:gridCol w:w="211"/>
        <w:gridCol w:w="571"/>
        <w:gridCol w:w="146"/>
        <w:gridCol w:w="146"/>
        <w:gridCol w:w="211"/>
        <w:gridCol w:w="571"/>
        <w:gridCol w:w="146"/>
        <w:gridCol w:w="146"/>
        <w:gridCol w:w="214"/>
        <w:gridCol w:w="582"/>
        <w:gridCol w:w="146"/>
        <w:gridCol w:w="146"/>
        <w:gridCol w:w="207"/>
        <w:gridCol w:w="664"/>
        <w:gridCol w:w="31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selling and marketing expenses for the six months ended June 30, 2026, as compared to the six months ended June 30, 2025, was primarily attributable to (i) higher payroll costs of $1.0 million due mainly to higher average headcount levels, (ii) higher travel costs of $0.3 million, and (iii) higher professional services expense of $0.2 million. This was partially offset by lower credit loss provisions of $0.2 million. Selling and marketing costs as a percentage of revenue were 8.7% for the six months ended June 30, 2026, compared to 5.9% for the six months ended June 30, 2025.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General and administrative</w:t>
      </w:r>
    </w:p>
    <w:tbl>
      <w:tblPr>
        <w:tblW w:w="709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4"/>
        <w:gridCol w:w="582"/>
        <w:gridCol w:w="146"/>
        <w:gridCol w:w="146"/>
        <w:gridCol w:w="207"/>
        <w:gridCol w:w="664"/>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increase in general and administrative expenses for the six months ended June 30, 2026, as compared to the six months ended June 30, 2025, was primarily attributable to (i) higher stock-based compensation expense of $3.2 million as a result of (a) new award grants and (b) the impact of certain executive award forfeitures during the six months ended June 30, 2025, (ii) higher professional service costs of $1.5 million, largely attributable to increased legal fees, (iii) higher payroll-related costs of $0.6 million, mainly related to CEO transition costs in April 2026, and (iv) costs associated with our consolidated subsidiary, Alpha Steel, as well as higher insurance and travel costs. General and administrative expenses as a percentage of revenue were 37.3% for the six months ended June 30, 2026, compared to 25.0% for the six months ended June 30,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Interest expense</w:t>
      </w:r>
    </w:p>
    <w:tbl>
      <w:tblPr>
        <w:tblW w:w="5995" w:type="dxa"/>
        <w:jc w:val="left"/>
        <w:tblInd w:w="0" w:type="dxa"/>
        <w:tblLayout w:type="fixed"/>
        <w:tblCellMar>
          <w:top w:w="28" w:type="dxa"/>
          <w:left w:w="28" w:type="dxa"/>
          <w:bottom w:w="28" w:type="dxa"/>
          <w:right w:w="28" w:type="dxa"/>
        </w:tblCellMar>
      </w:tblPr>
      <w:tblGrid>
        <w:gridCol w:w="1426"/>
        <w:gridCol w:w="146"/>
        <w:gridCol w:w="211"/>
        <w:gridCol w:w="571"/>
        <w:gridCol w:w="146"/>
        <w:gridCol w:w="146"/>
        <w:gridCol w:w="211"/>
        <w:gridCol w:w="571"/>
        <w:gridCol w:w="146"/>
        <w:gridCol w:w="146"/>
        <w:gridCol w:w="214"/>
        <w:gridCol w:w="582"/>
        <w:gridCol w:w="146"/>
        <w:gridCol w:w="146"/>
        <w:gridCol w:w="177"/>
        <w:gridCol w:w="694"/>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Interest expense is related mainly to our outstanding debt and consisted of the following:</w:t>
      </w:r>
    </w:p>
    <w:tbl>
      <w:tblPr>
        <w:tblW w:w="7576" w:type="dxa"/>
        <w:jc w:val="left"/>
        <w:tblInd w:w="0" w:type="dxa"/>
        <w:tblLayout w:type="fixed"/>
        <w:tblCellMar>
          <w:top w:w="28" w:type="dxa"/>
          <w:left w:w="28" w:type="dxa"/>
          <w:bottom w:w="28" w:type="dxa"/>
          <w:right w:w="28" w:type="dxa"/>
        </w:tblCellMar>
      </w:tblPr>
      <w:tblGrid>
        <w:gridCol w:w="5071"/>
        <w:gridCol w:w="146"/>
        <w:gridCol w:w="232"/>
        <w:gridCol w:w="630"/>
        <w:gridCol w:w="183"/>
        <w:gridCol w:w="161"/>
        <w:gridCol w:w="232"/>
        <w:gridCol w:w="630"/>
        <w:gridCol w:w="2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and exit fee non-cash interest added to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 in cash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accrued interest from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included in accounts payable and other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Gain from disposal of investment in unconsolidated subsidiary</w:t>
      </w:r>
    </w:p>
    <w:tbl>
      <w:tblPr>
        <w:tblW w:w="9676" w:type="dxa"/>
        <w:jc w:val="left"/>
        <w:tblInd w:w="0" w:type="dxa"/>
        <w:tblLayout w:type="fixed"/>
        <w:tblCellMar>
          <w:top w:w="28" w:type="dxa"/>
          <w:left w:w="28" w:type="dxa"/>
          <w:bottom w:w="28" w:type="dxa"/>
          <w:right w:w="28" w:type="dxa"/>
        </w:tblCellMar>
      </w:tblPr>
      <w:tblGrid>
        <w:gridCol w:w="5206"/>
        <w:gridCol w:w="146"/>
        <w:gridCol w:w="211"/>
        <w:gridCol w:w="346"/>
        <w:gridCol w:w="146"/>
        <w:gridCol w:w="146"/>
        <w:gridCol w:w="211"/>
        <w:gridCol w:w="571"/>
        <w:gridCol w:w="146"/>
        <w:gridCol w:w="146"/>
        <w:gridCol w:w="211"/>
        <w:gridCol w:w="631"/>
        <w:gridCol w:w="166"/>
        <w:gridCol w:w="146"/>
        <w:gridCol w:w="163"/>
        <w:gridCol w:w="708"/>
        <w:gridCol w:w="376"/>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disposal of investment in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sold our 23% equity interest in our unconsolidated subsidiary, Dimension Energy LLC ("Dimension"), on June 24, 2021. Dimension is a community solar developer based in Atlanta, Georgia that provides renewable energy solutions for local communities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sales agreement with Dimension included an earnout provision which provided for the potential to receive additional contingent consideration, based on Dimension achieving certain performance milestones, and additional contingent consideration in the form of a projects escrow release based on Dimension’s completion of certain construction projects in progress at the time of the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we received a final earnout payment of $3.2 million that was recognized in accordance with our policy election of recording such gains when realized.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Gain from change in fair value of warrant liability</w:t>
      </w:r>
    </w:p>
    <w:tbl>
      <w:tblPr>
        <w:tblW w:w="8906" w:type="dxa"/>
        <w:jc w:val="left"/>
        <w:tblInd w:w="0" w:type="dxa"/>
        <w:tblLayout w:type="fixed"/>
        <w:tblCellMar>
          <w:top w:w="28" w:type="dxa"/>
          <w:left w:w="28" w:type="dxa"/>
          <w:bottom w:w="28" w:type="dxa"/>
          <w:right w:w="28" w:type="dxa"/>
        </w:tblCellMar>
      </w:tblPr>
      <w:tblGrid>
        <w:gridCol w:w="4141"/>
        <w:gridCol w:w="146"/>
        <w:gridCol w:w="211"/>
        <w:gridCol w:w="676"/>
        <w:gridCol w:w="146"/>
        <w:gridCol w:w="146"/>
        <w:gridCol w:w="211"/>
        <w:gridCol w:w="571"/>
        <w:gridCol w:w="146"/>
        <w:gridCol w:w="146"/>
        <w:gridCol w:w="211"/>
        <w:gridCol w:w="676"/>
        <w:gridCol w:w="146"/>
        <w:gridCol w:w="146"/>
        <w:gridCol w:w="154"/>
        <w:gridCol w:w="717"/>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New Warrants issued in connection with the Credit Agreement, as described further in Note 11, "Debt" in our Condensed Consolidated Financial Statements included in Part I, Item 1 of this Quarterly Report, are classified as a long-term liability. Due largely to a decrease in the price of our common stock during the six months ended June 30, 2026, the fair value of the New Warrants decreased from $74.5 million at December 31, 2025 to $34.7 million as of June 30, 2026, resulting in recognition of a non-cash gain during the six months ended June 30, 2026.</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Loss from unconsolidated subsidiary</w:t>
      </w:r>
    </w:p>
    <w:tbl>
      <w:tblPr>
        <w:tblW w:w="7440" w:type="dxa"/>
        <w:jc w:val="left"/>
        <w:tblInd w:w="0" w:type="dxa"/>
        <w:tblLayout w:type="fixed"/>
        <w:tblCellMar>
          <w:top w:w="28" w:type="dxa"/>
          <w:left w:w="28" w:type="dxa"/>
          <w:bottom w:w="28" w:type="dxa"/>
          <w:right w:w="28" w:type="dxa"/>
        </w:tblCellMar>
      </w:tblPr>
      <w:tblGrid>
        <w:gridCol w:w="3106"/>
        <w:gridCol w:w="146"/>
        <w:gridCol w:w="211"/>
        <w:gridCol w:w="346"/>
        <w:gridCol w:w="146"/>
        <w:gridCol w:w="146"/>
        <w:gridCol w:w="211"/>
        <w:gridCol w:w="481"/>
        <w:gridCol w:w="166"/>
        <w:gridCol w:w="146"/>
        <w:gridCol w:w="265"/>
        <w:gridCol w:w="531"/>
        <w:gridCol w:w="146"/>
        <w:gridCol w:w="146"/>
        <w:gridCol w:w="163"/>
        <w:gridCol w:w="708"/>
        <w:gridCol w:w="37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11, 2025, we entered into a Membership Interest Purchase Agreement with the other equity holders of Alpha Steel pursuant to which we acquired 100% of the membership interests in Alpha Steel, effective November 12, 2025. As a result, Alpha Steel is now our wholly owned subsidiary and the financial results of Alpha Steel since November 12, 2025 have been included in our consolidated results. Prior to November 12, 2025, we held a 45% interest in Alpha Steel, which we accounted for under the equity method of accounting. The loss from unconsolidated subsidiary for the six months ended June 30, 2025 represented our share of the net operating losses incurred by Alpha Steel during that period.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inception, we have financed our operations primarily through sales of shares of common stock, issuance of debt and payments from our customers and others. Our ability to generate positive cash flow from operations is dependent on our level of production, contract payment terms, timely collections from our customers and the strength of our gross margins.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cumulative operating losses since inception and have a history of cash outflows from operations, inclusive of $4.5 million in cash utilized in our operating activities during the six months ended June 30, 2026. As of June 30, 2026, we had unrestricted cash on hand of $10.1 million, a working capital deficit of $7.9 million and stockholders' deficit of $30.3 million.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Second Amendment to Credit Agreement, failure to meet cash and direct tracker margin covenants and Limited Waiver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described further in Note 11, "Debt" in Part I, Item 1 of this Quarterly Report, on March 23, 2026, we entered into a Second Amendment and Limited Waiver to our Credit Agreement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(a) a required minimum unrestricted cash covenant of $10.0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noted above, 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On August 4, 2026, we entered into a Limited Waiver and Limited Consent to Credit Agreement (the "Waiver")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this Quarterly Report. Accordingly, we have classified all outstanding debt under our Credit Agreement as a current obligation as of June 30, 2026. Should future actual results, including near-term operating and capital raising activities prove to be sufficient, we will reconsider the classification of our debt when appropriate.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Equity Line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4, 2026, we entered into a Purchase Agreement with Lincoln Park Capital Fund, LLC (“Lincoln Park”) to establish an equity line of credit of up to $20.0 million (the “Purchase Agreement”). Pursuant to the Purchase Agreement, Lincoln Park committed to purchase, at our direction from time to time, up to an aggregate of $20.0 million of our common stock, subject to the terms, conditions and limitations set forth in the Purchase Agreement. We also entered into a registration rights agreement with Lincoln Park (the “Registration Rights Agreement”), pursuant to which we agreed to file with the U.S. Securities and Exchange Commission (the “SEC”) a registration statement covering the resale by Lincoln Park of the shares of common stock that have been and may be issued and sold to Lincoln Park under the Purchase Agreement, including the commitment shares described below, and to take such other actions as are reasonably necessary to maintain the effectiveness of such registration statement as provided in the Registration Rights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Purchase Agreement, from and after the date on which the conditions to Lincoln Park’s purchase obligations have been satisfied, including that the registration statement described above is declared effective by the SEC and a final prospectus is filed with the SEC (the “Commencement Date”), we will have the right, but not the obligation, in our sole discretion to direct Lincoln Park to purchase shares of Common Stock from time to time over a period of up to 24 months for aggregate gross proceeds of up to $20.0 million. From and after the Commencement Date, on any business day on which the closing sale price of the Common Stock is not below $1.00 per share, we may, by written notice, direct Lincoln Park to purchase up to 20,000 shares of Common Stock (a “Regular Purchase”), which amount may be increased to up to 30,000 shares of Common Stock if the closing sale price is not below $2.00 per share, up to 40,000 shares of Common Stock if the closing sale price is not less than $3.00 per share of Common Stock, and up to 50,000 shares if the closing sale price is not below $4.00 per share of Common Stock, in each case subject to a maximum dollar amount of $1.0 million per Regular Purchase. The purchase price per share for each Regular Purchase will be equal to 97% of the lower of (i) the lowest sale price of the Common Stock on the applicable purchase date and (ii) the average of the three lowest closing sale prices of the Common Stock during the ten consecutive business days immediately preceding the applicable purchase date. In addition, if we direct Lincoln Park to purchase the maximum number of shares permitted in a Regular Purchase on an applicable purchase date, then, in addition to such Regular Purchase and subject to the satisfaction of certain conditions and limitations set forth in the Purchase Agreement, we may also direct Lincoln Park to purchase additional shares of Common Stock in an accelerated purchase (an “Accelerated Purchase”) on the following business day. For an Accelerated Purchase, Lincoln Park will purchase the lesser of (i) three times the regular purchase share limit for the corresponding Regular Purchase and (ii) 30% of the trading volume on the Accelerated Purchase date as specified in the Purchase Agreement, at a purchase price per share equal to the lower of 97% of (x) the closing sale price on the Accelerated Purchase date and (y) the volume-weighted average price during the measurement period specified in the Purchase Agreement for such date. Subject to satisfaction of the applicable conditions, we may direct multiple Accelerated Purchases in a single trading day.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Purchase Agreement prohibits the Company from directing Lincoln Park to purchase any shares of Common Stock if such shares, when aggregated with all other shares then beneficially owned by Lincoln Park and its affiliates, would result in Lincoln Park beneficially owning more than 4.99% of the outstanding shares of Common Stock, which beneficial ownership cap may be increased by Lincoln Park to up to 9.99% upon 61 days’ prior written notice to the Company. Additionally, unless otherwise approved by our stockholders, we may not issue shares of Common Stock under the Purchase Agreement in excess of 19.9% of our common stock outstanding on August 4,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Lincoln Park’s commitment to purchase shares under the Purchase Agreement, on the date of the Purchase Agreement we issued to Lincoln Park 60,145 shares of Common Stock as commitment shares.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Payments for acquisition of Alpha Steel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June 30, 2026, we had a remaining required payment of approximately $1.1 million due to the Selling Members, plus accrued interest, which we paid during August 2026. The Acquisition Notes were secured by all of Alpha Steel's assets, provided, however, the security interests granted to each of the Selling Members under the Acquisition Notes were subordinate and junior to the security interests in favor of the Lenders under the Credit Agreement.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Conclusion of substantial doubt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view of the requirements for quarterly cash interest payments, a specified prepayment of principal under the Credit Agreement, and principal and interest payments for the Acquisition Notes, as well as our history of operating losses and cash outflows, and considering that the availability of additional financing provided by the Credit Agreement in the form of Second Delayed Draw Term Loans or full utilization of the equity line of credit is not completely within our control, we believe these factors create uncertainty as to our ability to fully meet the financial covenant requirements under the Credit Agreement during the twelve months following issuance of this Quarterly Report. Therefore, we have concluded that substantial doubt exists as to our ability to continue as a going concern within the next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meet our liquidity needs over the next year is dependent upon (i) our unrestricted cash on hand (subject to (x) a required principal repayment of $5.0 million on September 30, 2026, under the Credit Agreement, as well as principal and interest payments due for the Acquisition Notes, and (y) a $10.0 million minimum unrestricted cash covenant under the Credit Agreement effective for the quarter ending September 30, 2026, and each quarter thereafter, and our compliance with all other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subject to approval by the Lenders in their sole discretion, and (iv) our ability to raise additional capital through the equity line of credit or other securities offerings. In addition, we continue to remain focused on implementing additional cost savings steps, which could impact, among other things, the size and location of our headcount and the level of services currently provided by third parties.</w:t>
      </w:r>
    </w:p>
    <w:p>
      <w:pPr>
        <w:pStyle w:val="TextBody"/>
        <w:bidi w:val="0"/>
        <w:spacing w:before="240" w:after="283"/>
        <w:jc w:val="left"/>
        <w:rPr>
          <w:rFonts w:ascii="Times New Roman" w:hAnsi="Times New Roman"/>
          <w:b/>
          <w:i/>
          <w:color w:val="000000"/>
          <w:sz w:val="20"/>
        </w:rPr>
      </w:pPr>
      <w:bookmarkStart w:id="18" w:name="outstanding_debt_and_warrants"/>
      <w:bookmarkEnd w:id="18"/>
      <w:r>
        <w:rPr>
          <w:rFonts w:ascii="Times New Roman" w:hAnsi="Times New Roman"/>
          <w:b/>
          <w:i/>
          <w:color w:val="000000"/>
          <w:sz w:val="20"/>
        </w:rPr>
        <w:t>Outstanding debt and warrants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Acquisition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acquisition of 100% of the Membership Interests in Alpha Steel in November 2025, we agreed to pay approximately $2.7 million in various installments during 2026, which was evidenced by Acquisition Notes. At June 30, 2026, we had a remaining balance due of approximately $1.1 million, plus accrued interest, which we paid during August 2026. The Acquisition Notes bear interest on any unpaid balance at a rate of 3.64% per annum and are secured by all of Alpha Steel's assets, provided, however, the security interests granted to each of the Selling Members under the Acquisition Notes are subordinate and junior to the security interests in favor of the Lenders under the Credit Agreement described below. The Acquisition Notes were discounted upon issuance at a market-participant discount rate resulting in an effective interest rate of approximately 12% until maturity.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Credit Agreement and New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entered into the Original Credit Agreement, effective July 2, 2025, with various lenders (the "Lenders") and Acquiom Agency Services LLC, as Administrative Agent. On November 1, 2025 we entered into a First Amendment to Credit Agreement to amend certain of the financial covenants applicable to us and in connection with our agreement to acquire 100% of the membership interests in Alpha Steel. On March 23, 2026, we entered into the Second Amendment pursuant to which: (i) the Lenders provided a waiver relating to our breach of the purchase order covenant for the fiscal quarter ended December 31, 2025; (ii) the Lenders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 The amount of each of the foregoing principal repayments is referred to as an "ECF Repayment Amount". The Original Credit Agreement, as amended, is referred to below as the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noted above, we were not in compliance with the required minimum cash and direct tracker margin covenants pursuant to the Second Amendment as of June 30, 2026. On August 4, 2026, we entered into the Waiver with the Lenders in which the Lenders waived our noncompliance with these minimum unrestricted cash and minimum direct tracker margin covenants as described above. The waiver covered the periods of noncompliance but did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herein. Accordingly, we have classified all outstanding debt under our Credit Agreement as a current obligation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provides for a senior secured term facility of up to $75 million, consisting of (i) Initial Term Loans and First Delayed Draw Term Loans (both as defined in the Credit Agreement) that were funded during 2025 in an aggregate principal amount of $37.5 million, and (ii) up to $37.5 million principal amount of Second Delayed Draw Term Loans (as defined in the Credit Agreement) that may be requested by the Company and approved by the Lenders in their sole discretion (collectively, with the Initial Term Loans and the First Delayed Draw Term Loans, the "Term Loans"). The Term Loans currently outstanding were originally scheduled to mature on July 2,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entering into the Credit Agreement, we also issued warrants (the "New Warrants") to the Lenders for an aggregate 6,836,237 shares of our common stock. The New Warrants are (i) exercisable at any time through July 2, 2035, at an exercise price of $0.01 per share, and (ii) accounted for as a long-term liability, based on terms that could require cash settlement upon the occurrence of a contingent change in control event.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Key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Loans bear interest at 12.00% per annum. A portion of the interest equal to 7.00% per annum is being capitalized and added as paid-in-kind interest and will increase the outstanding principal amount of the Term Loans. The remainder of the interest will be paid in cash at the end of each fiscal quarter. Upon the occurrence and during the continuation of certain events of default under the Credit Agreement ("Events of Default") or upon the election of certain required Lenders during the occurrence and continuation of any Event of Default, the interest rate applicable to the Term Loans will be increased by a 7.00% default interest rate, which would be capitalized and added to the principal amount of the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required principal payments under the Second Amendment, the Credit Agreement also provides for the mandatory prepayment of the indebtedness and other obligations outstanding under the Credit Agreement and other applicable loan documents upon the occurrence of certain events (including in connection with a change in control of the Company) and upon acceleration following an Event of Default (an "Exit Fee Event"). If an Exit Fee Event occurs, the Company shall pay an exit fee (the "Exit Fee") equal to (x) the aggregate amount of all Term Loans extended by the Lenders under the Credit Agreement, multiplied by (y) the Exit Fee Percentage, minus (z) the amount of interest paid in cash by the Company prior to the Exit Fee Event, where the "Exit Fee Percentage" equals 25% in connection with a change of control transaction, or otherwise equals 50%.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 principal payments required in 2026 under the terms of the Second Amendment, we now estimate an Exit Fee of approximately $2.6 million will be owed upon the originally stated maturity of the debt, in addition to the repayment upon originally stated maturity of any outstanding principal under the Term Loans, plus accrued and unpaid interest. We are accreting each period, as additional interest expense using the interest method, an amount for the expected exit fee obligation that we estimate will be due on July 2, 2029. The amount accrued as of June 30, 2026 for the exit fee obligation is reflected as a component of our total debt balance as shown in Note 11, "Debt", included in Part I, Item 1 of this Quarterly Report.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Financial covenants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amended by the Second Amendment, the Credit Agreement includes the following covenants.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Unrestricted Cash Amount</w:t>
      </w:r>
      <w:r>
        <w:rPr>
          <w:rFonts w:ascii="Times New Roman" w:hAnsi="Times New Roman"/>
          <w:color w:val="000000"/>
          <w:sz w:val="20"/>
        </w:rPr>
        <w:t xml:space="preserve">. The Company is required to have unrestricted cash balances as of the last day of the fiscal quarter ending September 30, 2026 equal to the greater of (i) $10.0 million and (ii) $15.0 million minus a remaining ECF Repayment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 if actually paid by the Company to the Lenders pursuant to the Credit Agreement prior to such date. The Company currently anticipates that this financial covenant will require the Company to have at least $10.0 million of unrestricted cash as of September 30, 2026, and each fiscal quarter thereafter.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Quarterly Revenue</w:t>
      </w:r>
      <w:r>
        <w:rPr>
          <w:rFonts w:ascii="Times New Roman" w:hAnsi="Times New Roman"/>
          <w:color w:val="000000"/>
          <w:sz w:val="20"/>
        </w:rPr>
        <w:t>. The Company is required to have consolidated quarterly revenue of at least: (i) $50.0 million for the fiscal quarter ending September 30, 2026; and (ii) $75.0 million for the fiscal quarter ending December 31, 2026 and the last day of each fiscal quarter thereafter.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Consolidated EBITDA</w:t>
      </w:r>
      <w:r>
        <w:rPr>
          <w:rFonts w:ascii="Times New Roman" w:hAnsi="Times New Roman"/>
          <w:color w:val="000000"/>
          <w:sz w:val="20"/>
        </w:rPr>
        <w:t>. For the 12-month period ending December 31, 2026, the Company’s consolidated EBITDA may not be less than $10.0 million, and for the 12-month period ending December 31, 2027 and the last day of each fiscal year thereafter, the Company’s consolidated EBITDA may not be less than $25.0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Company’s direct tracker margin must exceed certain thresholds for each fiscal quarter in 2026, and the financial covenants also include a requirement that the amounts due to the Company under new purchase orders must meet certain thresholds beginning with the fiscal quarter ending March 31,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noted above, at June 30, 2026, the Company was not in compliance with the required minimum unrestricted cash and direct tracker margin financial covenants under the Credit Agreement. On August 4, 2026, we entered into the Waiver with the Lenders in which the Lenders waived our noncompliance with these minimum unrestricted cash and minimum direct tracker margin covenants.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Senior Notes and Original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senior secured promissory notes (the “Senior Notes”) and warrants exercisable for 1,750,000 shares of our common stock (the “ Original Warrants”) (the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Senior Notes, we elected to increase the outstanding principal amount of the Senior Notes by an amount of interest at a rate of 13% per annum ("paid-in-kind" interest) capitalized semiannually on the final business day in June and December of each year. As a result, our outstanding principal balance of the Senior Notes was approximately $16.1 million as of July 2, 2025. The Senior Notes were initially secured by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Original Warrants issued in the Offering were exercised on June 30, 2025 at an exercise price of $0.10 per share, in return for the issuance of 1,750,000 shares of our common stock. We had previously determined liability classification for the Original Warrants was required based on terms that could require cash settlement upon the occurrence of a contingent change in control event.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Changes in the number and value of our Original and New Warrants were as follows:</w:t>
      </w:r>
    </w:p>
    <w:tbl>
      <w:tblPr>
        <w:tblW w:w="10194" w:type="dxa"/>
        <w:jc w:val="left"/>
        <w:tblInd w:w="0" w:type="dxa"/>
        <w:tblLayout w:type="fixed"/>
        <w:tblCellMar>
          <w:top w:w="28" w:type="dxa"/>
          <w:left w:w="28" w:type="dxa"/>
          <w:bottom w:w="28" w:type="dxa"/>
          <w:right w:w="28" w:type="dxa"/>
        </w:tblCellMar>
      </w:tblPr>
      <w:tblGrid>
        <w:gridCol w:w="3331"/>
        <w:gridCol w:w="146"/>
        <w:gridCol w:w="215"/>
        <w:gridCol w:w="1375"/>
        <w:gridCol w:w="146"/>
        <w:gridCol w:w="146"/>
        <w:gridCol w:w="257"/>
        <w:gridCol w:w="898"/>
        <w:gridCol w:w="166"/>
        <w:gridCol w:w="146"/>
        <w:gridCol w:w="204"/>
        <w:gridCol w:w="1386"/>
        <w:gridCol w:w="166"/>
        <w:gridCol w:w="146"/>
        <w:gridCol w:w="289"/>
        <w:gridCol w:w="866"/>
        <w:gridCol w:w="3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($000's)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($000's)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Original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6,836,237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Amendment to the Purchase Agreement and Senior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Credit Agreement, the Investor entered into a Subordination Agreement, dated July 2, 2025 (the “Subordination Agreement”). Pursuant to the Subordination Agreement, the Investor agreed to the subordination of all indebtedness owed by the Company to the Investor, including under the Senior Notes issued by the Company to the Investor on December 4, 2024, to the indebtedness and obligations owed under the Credit Agreement and the other applicable loan documents.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in connection with the Credit Agreement and the Subordination Agreement, the Company and Investor entered into an Amended and Restated Promissory Note, dated July 2, 2025 (the “A&amp;R Promissory Note”). The A&amp;R Promissory Note amends and restates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original Senior Notes to remove the seniority terms of those notes, conform the original Senior Notes to the terms of the Credit Agreement and the Subordination Agreement, amend certain prepayment and make-whole terms under the original Senior Notes, delete certain covenants and event of default terms, reduce the interest rate under the original Senior Notes to 5% per annum paid in cash and 7% per annum paid in kind, both on the final business day of June and December in each year, and to delete the financial covenants set forth in the original Senior Notes. As a result of an amendment to the Purchase Agreement entered into on July 2, 2025 (the "Purchase Agreement Amendment"), among other things, the Investor agreed to release all liens and guarantees securing the obligations under the Senior Notes, the Purchase Agreement, and the A&amp;R Promissory Note. The A&amp;R Promissory Note also (i) provides for additional interest to be capitalized and added to the principal amount of the debt at a rate of 5% per annum upon the occurrence and continuation of certain events of default and (ii) was originally scheduled to mature on January 2, 2030.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June 30, 2026, the outstanding principal balance of our Term Loans and the A&amp;R Promissory Note totaled approximately $52.1 million, including accrued paid-in-kind interest to date. As noted above, $5.0 million of principal with respect to the Term Loans is required to be paid in September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herein. Accordingly, the outstanding Term Loan and A&amp;R Promissory principal, plus accrued paid-in-kind interest, related unamortized discount and debt issue costs and any applicable Exit Fee, have been classified as a current obligation at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Statements of cash flows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shows our cash flows from operating activities, investing activities and financing activities for the stated periods:</w:t>
      </w:r>
    </w:p>
    <w:tbl>
      <w:tblPr>
        <w:tblW w:w="7729" w:type="dxa"/>
        <w:jc w:val="left"/>
        <w:tblInd w:w="0" w:type="dxa"/>
        <w:tblLayout w:type="fixed"/>
        <w:tblCellMar>
          <w:top w:w="28" w:type="dxa"/>
          <w:left w:w="28" w:type="dxa"/>
          <w:bottom w:w="28" w:type="dxa"/>
          <w:right w:w="28" w:type="dxa"/>
        </w:tblCellMar>
      </w:tblPr>
      <w:tblGrid>
        <w:gridCol w:w="5086"/>
        <w:gridCol w:w="146"/>
        <w:gridCol w:w="211"/>
        <w:gridCol w:w="736"/>
        <w:gridCol w:w="166"/>
        <w:gridCol w:w="146"/>
        <w:gridCol w:w="211"/>
        <w:gridCol w:w="736"/>
        <w:gridCol w:w="2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we used approximately $18.6 million of cash to fund a portion of our current period expenditures for personnel and facilities, legal and professional fees, insurance, research and development and various other operating activities. This compares to approximately $17.4 million used during the six months ended June 30, 2025, also to fund a portion of our prior period expenditures for various operating activities as described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we generated approximately $14.2 million of cash primarily from changes in working capital, mainly related to timing of vendor payments and customer receipts, and the impact of changes in activity levels. This compares to approximately $6.7 million of cash generated from changes in working capital during the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working capital decreased by approximately $37.5 million from over $29.5 million at December 31, 2025 to a working capital deficit of $7.9 million at June 30, 2026. The decrease was largely attributable to the reclassification of our long-term debt to a current obligation as a result of failing to meet the required minimum unrestricted cash and direct tracker margin financial covenants as of June 30, 2026, the use of cash as described above, and changes in other working capital balances due to activity levels during the six months ended June 30, 2026.</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Investing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we had capital expenditures of approximately $0.6 million, primarily for tooling and new computer and IT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we received $3.2 million of contingent earnout payments from our investment in Dimension that we sold in 2021. We also had capital expenditures of nearly $0.3 million, primarily for tooling.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Financing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we made (i) principal payments of $6.3 million relating to required payments on our outstanding Term Loan and Acquisition Note debt, and (ii) payments for legal fees totaling $0.2 million incurred in connection with entering into the Second Amendment to our Credit Agreement. We also sold 350,152 new shares of our common stock under our ATM program receiving gross proceeds of approximately $1.5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Proceeds received from stock option exercises were minimal during the six months ended June 30, 2025.</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Management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revenue and expenses during the period. Estimates are used for calculating the measure of progress of our solar tracker projects and deriving the standalone selling prices of the individual performance obligations when determining amounts to recognize for revenue, estimating allowances for credit losses and slow-moving and obsolete inventory, determining useful lives of long-lived assets and the estimated fair value of those assets for impairment assessments, and estimating the fair value of assets and liabilities acquired in business combinations, investments, warrants, stock compensation awards, warranty liabilities and federal and state taxes, including tax valuation allowances, as well as other contingencies. We base our estimates on historical experience and anticipated results, trends, and various other assumptions that we believe are reasonable under the circumstances, including assumptions as to future events. Actual results could differ from those estimates due to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accounting policies described below involve a significant degree of judgment and complexity. Accordingly, we believe these are the most critical to aid in fully understanding and evaluating our condensed consolidated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policy on revenue recognition may be found in Note 2, "Summary of significant accounting policies" in our Condensed Consolidated Financial Statements in Part I, Item 1 of this Quarterly Report.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Judgments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amounts of revenue and cost of revenue recognition, as well as recording of related receivables and deferred revenue, is highly dependent on our identification of performance obligations in each contract and our estimates by contract of total project cost and our progress toward project completion as of each period end. Certain estimates are subject to factors outside of our control that may impact our suppliers, our costs and the global supply chain. As an example, as described further in "Key Factors Affecting Our Performance" above, we are impacted by (i) changes in project timing by customers, (ii) government regulations, (iii) increases in tariffs, and (iv) disruptions in transportation and supply chains, including the impact of changes in the cost of transportation due to changes in fuel prices as a result of international conflicts or other market disruptions. We base our estimates on the best information available at each period end, but future events and their effects cannot be determined with certainty, and actual results could differ materially from our assumptions and estimates.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policy relating to our accounts receivable and allowance for credit losses may be found in Note 2, "Summary of significant accounting policies" in our Condensed Consolidated Financial Statements in Part I, Item 1 of this Quarterly Report.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Judgments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allowance for credit losses is based on the lifetime expected credit loss of our customer accounts. To assess the lifetime expected credit loss, we utilize a loss rate method that takes into consideration historical experience and certain other factors, as appropriate, such as credit quality, current economic or other conditions and changes in project status that may affect a customer's ability to pay. This method accelerates the recognition of expected credit losses as compared to the incurred loss model used prior to 2023 and may result in material differences between our estimates and actual collection results. We may also have greater fluctuations in our credit loss expense over time based on changes in our historical experience or changes in estimates of future conditions which may not adequately reflect future actual customer payment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Adjustments to the allowance are largely dependent on historical experience involving amounts previously collected from our customers in recent years or based on specific changes in a customer's ability to pay. As an example, during the years ended December 31, 2025 and 2024, we recognized additional credit loss provisions of nearly $1.4 million and $2.1 million, respectively, related to our assessments in each year as to the ability by certain specific customers to fully pay contractual amounts owed us. Historical experience, when used in making such adjustments, may not reflect current actual experience.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policy relating to our warranty obligations may be found in Note 2, "Summary of significant accounting policies" in our Condensed Consolidated Financial Statements in Part I, Item 1 of this Quarterly Report.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Judgments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base our estimated warranty obligations on available industry data relating to the nature and frequency of product failure rates and, where possible, on our historical experience, to make estimates of costs to address future claims. These estimates are inherently uncertain given our relatively short history of sales, and changes to our historical or projected warranty experience or fluctuations in available industry data may result in material changes to our warranty reserves in the future. Additionally, we make estimates of what costs we believe will be recoverable from the manufacturers of our products that we use to offset our obligations to our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periodically monitor our warranty activities and claims, if actual costs incurred were to be different from our estimates, we would recognize adjustments to our warranty reserves in the period in which those differences arise or are identified. Such adjustments could be material to the cost of revenue in our results of operations in the period the adjustments are made.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and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policies relating to our stock-based compensation and our outstanding Warrants may be found in Note 2, "Summary of significant accounting policies" in our Condensed Consolidated Financial Statements in Part I, Item 1 of this Quarterly Report.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Judgments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Black-Scholes model and Monte Carlo simulations rely on various assumptions, in addition to the exercise price of an option award or our Warrants and the value of our common stock on the date of grant. These assumptions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The expected term represents the period that the Company’s stock-based awards and warrants are expected to be outstanding and is calculated for option grants as the average of the option vesting and contractual terms, based on the simplified method, when we did not have sufficient historical exercise data to provide a reasonable basis upon which to estimate the expected term for options at the dates granted. The simplified method deems the term to be the average of the time-to-vesting and the contractual life of the options. The contractual life of an option may be up to 10 years. Monte Carlo simulations, as described below, estimate the derived service period of awards with market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Since the Company did not have a trading history of its common stock prior to our IPO and since such trading history subsequent to our IPO may be less than the expected term of an award or our warrants, the expected volatility is derived from a weighted average of (i) our historical volatility over our entire trading history, with respect to certain more recent awards, and, if needed, (ii) the average historical stock volatilities of several public companies within the Company’s industry that it considers to be comparable to its business over a period equivalent to the expected term of the stock option grants, or awards granted with market conditions.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Risk-Free-Interest-Rate: </w:t>
      </w:r>
      <w:r>
        <w:rPr>
          <w:rFonts w:ascii="Times New Roman" w:hAnsi="Times New Roman"/>
          <w:color w:val="000000"/>
          <w:sz w:val="20"/>
        </w:rPr>
        <w:t>The Company bases the risk-free interest rate on the implied yield available on U.S. Treasury zero-coupon issues with a remaining term equivalent to the expected term.</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Expected Dividend Yield: </w:t>
      </w:r>
      <w:r>
        <w:rPr>
          <w:rFonts w:ascii="Times New Roman" w:hAnsi="Times New Roman"/>
          <w:color w:val="000000"/>
          <w:sz w:val="20"/>
        </w:rPr>
        <w:t>The Company has not issued any dividends in its history and does not expect to issue dividends over the life of the options or warrants and, therefore, has estimated the dividend yield to be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Monte Carlo simulations for certain awards granted with market conditions which provide an estimated average present value for each award based on a simulation assuming Geometric Brownian Motion in a risk-neutral framework using up to 250,000 simulation paths to determine the derived service and vesting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use of the simplified method for estimating the expected outstanding term of our options may differ significantly from future actual exercise patterns of our option holders. Estimates of the outstanding terms of our options, which are less than the actual exercise patterns of our option holders, may result in lower recognized expense. Alternatively, our recognized expense may be higher if our option holders exercise their options sooner than our estimates project.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our estimate of volatility is based on our historical stock volatility or the historical stock volatilities of a peer group of other public companies and may differ significantly from the actual future volatility of our stock over the term our Warrants and our options or awards with market conditions are held. Higher estimated volatility compared to future actual results may result in higher recognized expense or fair value of our Warrants and alternatively, lower expected volatility compared to future actual results may result in lower recognized expense or fair value of our Warrants.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to any of our assumptions, but particularly our estimates of expected term or derived service period and volatility, could change the fair value of our Warrants, as well as our options or awards with market conditions which could impact the amount of stock-based compensation expense we report each period. Changes in the trading price of our common stock on Nasdaq could also have a significant impact on the fair value of our Warrants, as well as whether awards with market conditions are ultimately earned.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Impairment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policies relating to impairment of our long-lived assets held for use and of goodwill may be found in Note 2, "Summary of significant accounting policies" in our Condensed Consolidated Financial Statements in Part I, Item 1 of this Quarterly Report.</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Judgments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judgments and assumptions involving our assessment of impairment of our long-lived assets, as well as goodwill,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whether events or changes in circumstances indicate that the carrying value of our long-lived assets or goodwill might be impaired. Such factors to consider may include an evaluation of changes in the business or regulatory climate, market conditions or other events impacting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Estimating future cash flows of our long-lived assets or asset groups, which may involve assumptions as to the lowest level of our assets at which cash flows are generated, including future growth and risk-adjusted discount rates, as well as a terminal growth rate or value and future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assumptions a market participant would use in determining the fair value of the affected long-lived assets or asset groups;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Estimating the fair value of the consolidated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estimating the fair value of the consolidated company, we used our market capitalization based on our closing stock price on the Nasdaq Capital Market at June 30, 2026. Our daily closing stock price is affected by numerous factors, some of which may not directly involve the operations of the company and, historically, has demonstrated high volatility.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identify any impairments of our long-lived assets or goodwill during the six months ended June 30, 2026 and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JOBS Act accounting election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Under the JOBS Act, emerging growth companies can delay adopting new or revised accounting standards until such time as those standards apply to private companies. We elected to use the allowed extended transition period for adopting new or revised accounting standards. </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adjusted net loss and adjusted earnings per share ("EPS")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utilize Adjusted EBITDA, Adjusted Net Loss, and Adjusted EPS as supplemental measures of our performance. We define Adjusted EBITDA as net income (loss) plus (i) provision for (benefit from) income taxes, (ii) interest expense, less interest income, (iii) depreciation expense, (iv) amortization expense, (v) stock-based compensation, (vi) loss from changes in the fair value of our warrant liability, and (vii) Chief Executive Officer ("CEO") transition costs, non-routine legal fees, costs associated with our reverse stock split, severance and certain other costs (credits). We also deduct (i) 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non-routine legal fees,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Adjusted Net Loss, and Adjusted EPS are intended as supplemental measures of performance that are neither required by, nor presented in accordance with, U.S. GAAP. We present Adjusted EBITDA, Adjusted Net Loss and Adjusted EPS, because we believe they assist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other limitations, Adjusted EBITDA, Adjusted Net Loss, and Adjusted EPS do not reflect (i) our cash expenditures, or future requirements, for capital additions or contractual commitments, and (ii) the impact of certain cash charges resulting from matters we consider not to be indicative of our ongoing operations. Further, the adjustments noted in Adjusted EBITDA do not reflect the impact of any income tax expense or benefit. Additionally, other companies in our industry may calculate Adjusted EBITDA, Adjusted Net Loss, and Adjusted EPS differently than we do, which limits its usefulness as a comparative measure.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Because of these limitations, Adjusted EBITDA, Adjusted Net Loss, and Adjusted EPS should not be considered in isolation or as substitutes for performance measures calculated in accordance with U.S. GAAP, and you should not rely on any single financial measure to evaluate our business. These non-GAAP financial measures, when presented, are reconciled to the most closely applicable U.S. GAAP measure as disclosed below for the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3790"/>
        <w:gridCol w:w="146"/>
        <w:gridCol w:w="263"/>
        <w:gridCol w:w="918"/>
        <w:gridCol w:w="166"/>
        <w:gridCol w:w="146"/>
        <w:gridCol w:w="224"/>
        <w:gridCol w:w="1104"/>
        <w:gridCol w:w="166"/>
        <w:gridCol w:w="146"/>
        <w:gridCol w:w="263"/>
        <w:gridCol w:w="918"/>
        <w:gridCol w:w="166"/>
        <w:gridCol w:w="146"/>
        <w:gridCol w:w="224"/>
        <w:gridCol w:w="1104"/>
        <w:gridCol w:w="315"/>
      </w:tblGrid>
      <w:tr>
        <w:trPr/>
        <w:tc>
          <w:tcPr>
            <w:tcW w:w="3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U.S.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Reconciling items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discount and issue costs in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Loss from change in fair value of warrant liability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CEO transition</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w:t>
            </w:r>
          </w:p>
        </w:tc>
        <w:tc>
          <w:tcPr>
            <w:tcW w:w="3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net loss per share (Adjusted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 for 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0"/>
        <w:gridCol w:w="9925"/>
      </w:tblGrid>
      <w:tr>
        <w:trPr/>
        <w:tc>
          <w:tcPr>
            <w:tcW w:w="280" w:type="dxa"/>
            <w:tcBorders/>
            <w:vAlign w:val="center"/>
          </w:tcPr>
          <w:p>
            <w:pPr>
              <w:pStyle w:val="TableContents"/>
              <w:bidi w:val="0"/>
              <w:spacing w:before="0" w:after="283"/>
              <w:jc w:val="left"/>
              <w:rPr>
                <w:sz w:val="4"/>
                <w:szCs w:val="4"/>
              </w:rPr>
            </w:pPr>
            <w:r>
              <w:rPr>
                <w:sz w:val="4"/>
                <w:szCs w:val="4"/>
              </w:rPr>
            </w:r>
          </w:p>
        </w:tc>
        <w:tc>
          <w:tcPr>
            <w:tcW w:w="9925" w:type="dxa"/>
            <w:tcBorders/>
            <w:vAlign w:val="center"/>
          </w:tcPr>
          <w:p>
            <w:pPr>
              <w:pStyle w:val="TableContents"/>
              <w:bidi w:val="0"/>
              <w:spacing w:before="0" w:after="283"/>
              <w:jc w:val="left"/>
              <w:rPr>
                <w:sz w:val="4"/>
                <w:szCs w:val="4"/>
              </w:rPr>
            </w:pPr>
            <w:r>
              <w:rPr>
                <w:sz w:val="4"/>
                <w:szCs w:val="4"/>
              </w:rPr>
            </w:r>
          </w:p>
        </w:tc>
      </w:tr>
      <w:tr>
        <w:trPr/>
        <w:tc>
          <w:tcPr>
            <w:tcW w:w="2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w:t>
            </w:r>
          </w:p>
        </w:tc>
        <w:tc>
          <w:tcPr>
            <w:tcW w:w="99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We exclude non-cash changes in the fair value of our outstanding warrants as we do not consider such changes to impact or reflect changes in our core operating performance.</w:t>
            </w:r>
          </w:p>
        </w:tc>
      </w:tr>
      <w:tr>
        <w:trPr/>
        <w:tc>
          <w:tcPr>
            <w:tcW w:w="2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w:t>
            </w:r>
          </w:p>
        </w:tc>
        <w:tc>
          <w:tcPr>
            <w:tcW w:w="99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 April 2026, we transitioned to a new CEO. As a result of that change, we recognized approximately $1.2 million in severance costs associated with our former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For the six months ended June 30, 2026 and 2025</w:t>
      </w:r>
    </w:p>
    <w:tbl>
      <w:tblPr>
        <w:tblW w:w="10205" w:type="dxa"/>
        <w:jc w:val="left"/>
        <w:tblInd w:w="0" w:type="dxa"/>
        <w:tblLayout w:type="fixed"/>
        <w:tblCellMar>
          <w:top w:w="28" w:type="dxa"/>
          <w:left w:w="28" w:type="dxa"/>
          <w:bottom w:w="28" w:type="dxa"/>
          <w:right w:w="28" w:type="dxa"/>
        </w:tblCellMar>
      </w:tblPr>
      <w:tblGrid>
        <w:gridCol w:w="3790"/>
        <w:gridCol w:w="146"/>
        <w:gridCol w:w="263"/>
        <w:gridCol w:w="918"/>
        <w:gridCol w:w="166"/>
        <w:gridCol w:w="146"/>
        <w:gridCol w:w="224"/>
        <w:gridCol w:w="1104"/>
        <w:gridCol w:w="166"/>
        <w:gridCol w:w="146"/>
        <w:gridCol w:w="263"/>
        <w:gridCol w:w="918"/>
        <w:gridCol w:w="166"/>
        <w:gridCol w:w="146"/>
        <w:gridCol w:w="224"/>
        <w:gridCol w:w="1104"/>
        <w:gridCol w:w="315"/>
      </w:tblGrid>
      <w:tr>
        <w:trPr/>
        <w:tc>
          <w:tcPr>
            <w:tcW w:w="3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U.S.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Reconciling items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discount and issue costs in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Gain from disposal of investment in unconsolidated subsidiary</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Gain from change in fair value of warrant liability</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CEO transition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Reverse stock split</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Severance costs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(22,014</w:t>
            </w:r>
          </w:p>
        </w:tc>
        <w:tc>
          <w:tcPr>
            <w:tcW w:w="3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net loss per share (Adjusted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 for 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15,809,947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15,809,947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1"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31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(a) </w:t>
            </w:r>
          </w:p>
        </w:tc>
        <w:tc>
          <w:tcPr>
            <w:tcW w:w="9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We exclude the gain from collections of contingent contractual amounts arising from the sale in 2021 of our investment in an unconsolidated subsidiary as these amounts are not considered part of our normal ongoing operations. The payment received in 2025 was the final contingent payment owed.</w:t>
            </w:r>
          </w:p>
        </w:tc>
      </w:tr>
      <w:tr>
        <w:trPr/>
        <w:tc>
          <w:tcPr>
            <w:tcW w:w="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w:t>
            </w:r>
          </w:p>
        </w:tc>
        <w:tc>
          <w:tcPr>
            <w:tcW w:w="9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We exclude non-cash changes in the fair value of our outstanding warrants as we do not consider such changes to impact or reflect changes in our core operating performance.</w:t>
            </w:r>
          </w:p>
        </w:tc>
      </w:tr>
      <w:tr>
        <w:trPr/>
        <w:tc>
          <w:tcPr>
            <w:tcW w:w="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w:t>
            </w:r>
          </w:p>
        </w:tc>
        <w:tc>
          <w:tcPr>
            <w:tcW w:w="9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 April 2026, we transitioned to a new CEO. As a result of that change, we recognized approximately $1.2 million in severance costs associated with our former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tc>
      </w:tr>
      <w:tr>
        <w:trPr/>
        <w:tc>
          <w:tcPr>
            <w:tcW w:w="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w:t>
            </w:r>
          </w:p>
        </w:tc>
        <w:tc>
          <w:tcPr>
            <w:tcW w:w="9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We incurred certain professional fees in 2025 to finalize various administrative tasks associated with the Reverse Stock Split that was consummated effective November 29, 2024. We do not consider these fees to be part of our normal ongoing operations.</w:t>
            </w:r>
          </w:p>
        </w:tc>
      </w:tr>
      <w:tr>
        <w:trPr/>
        <w:tc>
          <w:tcPr>
            <w:tcW w:w="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costs were incurred during 2025, due to restructuring changes that involuntarily impacted a number of employees, in order to adjust our operations to reflect current market and activity levels and to take advantage of process efficiencies gained.</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19" w:name="item_3_quantitative_and_qualitative_disc"/>
      <w:bookmarkEnd w:id="19"/>
      <w:r>
        <w:rPr>
          <w:rFonts w:ascii="Times New Roman" w:hAnsi="Times New Roman"/>
          <w:b/>
          <w:color w:val="000000"/>
          <w:sz w:val="24"/>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customer concentrations and fluctuations in steel, aluminum and logistics/transportation prices, as well as from fluctuations in the trading price of our common stock. We do not hold or issue financial instruments for trading purposes.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instruments consist of cash, cash equivalents, accounts receivable, accounts payable, warrants and debt obligations. Cash, cash equivalents, accounts receivable and accounts payable are stated at their carrying value, which approximates fair value due to the short time to the expected receipt or payment date. We estimate the fair value of our warrants using a Black-Scholes model involving current assumptions at each reporting period of (i) the per share value of our common stock, (ii) the expected holding period of the warrants before exercise, (iii) the estimated volatility of our stock over the expected holding period of the warrants, (iv) a risk free interest rate over the expected holding period of the warrants and, (v) an estimated dividend yield on our common stock over the expected holding period of the warrants. Each of those assumptions are subject to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had $10.1 million of unrestricted cash and cash equivalents on hand, the vast majority of which was located in the United States as of June 30, 2026. We regularly maintain cash balances with various financial institutions that exceed federally insured amounts, but we have experienced no losses associated with these amounts to date. We periodically evaluate the financial health of the financial institutions we use and may take action in future periods, similar to past actions, to reallocate cash balances between financial institutions based on our evaluation.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our cash equivalents include deposits in money market funds that invest primarily in short-term securities issued or guaranteed by the U.S. government or its agencies or instrumentalities and contain no restrictions on immediate redemption. The carrying value for these money market fund deposits approximates fair value based on quoted prices in active markets for units held (Level 1 classification) and totaled nearly $0.6 million at June 30, 2026 and over $0.5 million at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the outstanding principal balance, including accrued paid-in-kind interest, of our Term Loans and A&amp;R Promissory Note totaled $52.1 million.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herein. Accordingly, the outstanding Term Loan and A&amp;R Promissory principal, plus accrued paid-in-kind interest, related unamortized discount and debt issue costs and any applicable Exit Fee, have been classified as a current obligation at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had New Warrants outstanding for 6,836,237 shares of our common stock at June 30, 2026. The New Warrants are exercisable at any time through July 2, 2035, at an exercise price of $0.01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our debt is impacted by changes in interest and market rates for similar debt and the fair value of our New Warrants is largely impacted by changes in the trading price of our common stock, among other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other financial instruments as of June 30, 2026 or December 31, 2025, other than certain non-functional currency intercompany and third-party receivables and payables, which are subject to foreign exchange, interest rate or market risks.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Concentrations of major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customers include project developers, solar asset owners and EPCs that design and build solar energy projects. We extend credit to customers in the normal course of business, often without requiring collateral. We also perform credit analyses and monitor the financial health of our customers to reduce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rely on a small number of customers that account for a large portion of our revenue each period and our outstanding receivables at each period end.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our accounts receivable are from companies within or serving the solar industry and, as such, we are exposed to normal industry credit risks. We continually evaluate our reserves for potential credit losses and establish initial reserves based on our expectation of lifetime expected credit losses.</w:t>
      </w:r>
    </w:p>
    <w:p>
      <w:pPr>
        <w:pStyle w:val="TextBody"/>
        <w:bidi w:val="0"/>
        <w:spacing w:before="240" w:after="283"/>
        <w:jc w:val="both"/>
        <w:rPr>
          <w:rFonts w:ascii="Times New Roman" w:hAnsi="Times New Roman"/>
          <w:sz w:val="20"/>
        </w:rPr>
      </w:pPr>
      <w:r>
        <w:rPr>
          <w:rFonts w:ascii="Times New Roman" w:hAnsi="Times New Roman"/>
          <w:b/>
          <w:color w:val="000000"/>
          <w:sz w:val="20"/>
        </w:rPr>
        <w:t>Commodity price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our acquisition of Alpha Steel, we now have the ability to manufacture and deliver certain products to our domestic customers seeking U.S.-based content. As a result, we are directly exposed to the risk of fluctuating market prices, primarily related to steel and aluminum, that we may not be able to fully pass on to our customers under terms of our existing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subcontract to various contract manufacturers, who manufacture and deliver products directly to our customers. We, therefore in those cases, do not acquire raw materials and commodities directly, except for items added to our inventory. We are subject to indirect risk from fluctuating market prices of various commodity raw materials, including steel and aluminum, which are used in our products, through our contract manufacturers, as increases in these commodity prices would increase our cost of procuring subcontracting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Prices of the raw materials used in our products may be affected by supply restrictions or other market factors from time to time. Significant price increases for these raw materials could reduce our operating margins if we are unable to recover such increases in costs from our customers, and could harm our business, financial condition and results of operations.</w:t>
      </w:r>
    </w:p>
    <w:p>
      <w:pPr>
        <w:pStyle w:val="TextBody"/>
        <w:bidi w:val="0"/>
        <w:jc w:val="both"/>
        <w:rPr/>
      </w:pPr>
      <w:r>
        <w:rPr/>
        <w:t> </w:t>
      </w:r>
    </w:p>
    <w:p>
      <w:pPr>
        <w:pStyle w:val="TextBody"/>
        <w:bidi w:val="0"/>
        <w:spacing w:before="240" w:after="283"/>
        <w:jc w:val="left"/>
        <w:rPr>
          <w:rFonts w:ascii="Times New Roman" w:hAnsi="Times New Roman"/>
          <w:sz w:val="20"/>
        </w:rPr>
      </w:pPr>
      <w:bookmarkStart w:id="20" w:name="item_4_controls_and_procedures"/>
      <w:bookmarkEnd w:id="20"/>
      <w:r>
        <w:rPr>
          <w:rFonts w:ascii="Times New Roman" w:hAnsi="Times New Roman"/>
          <w:b/>
          <w:color w:val="000000"/>
          <w:sz w:val="24"/>
        </w:rPr>
        <w:t>ITEM 4. CONTROLS AND</w:t>
      </w:r>
      <w:r>
        <w:rPr>
          <w:rFonts w:ascii="Times New Roman" w:hAnsi="Times New Roman"/>
          <w:color w:val="000000"/>
          <w:sz w:val="20"/>
        </w:rPr>
        <w:t xml:space="preserve"> </w:t>
      </w:r>
      <w:r>
        <w:rPr>
          <w:rFonts w:ascii="Times New Roman" w:hAnsi="Times New Roman"/>
          <w:b/>
          <w:color w:val="000000"/>
          <w:sz w:val="24"/>
        </w:rPr>
        <w:t>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defined in Rules 13a-15(e) and 15d-15(e) under the Securities Exchange Act of 1934 (the "Exchange Act") as of the end of the period covered by this Quarterly Report. As allowed, management excluded from its assessment of disclosure controls and procedures and internal control over financial reporting the operations of Alpha Steel, which we obtained control of effective November 12, 2025. Based on our evaluation, our Chief Executive Officer and Chief Financial Officer concluded that our disclosure controls and procedures were not effective as of June 30, 2026, solely because of the material weakness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recognizes that any controls and procedures, no matter how well designed and operated, can provide only reasonable assurance of achieving the desired control objectives.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Identification of material weakness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Our process for determining revenue to be recognized over time involves multiple spreadsheets and inputs from various parties and sources. While this process is robust, it does require manual coordination and from time to time we identify isolated errors that are not material to our consolidated results. We promptly take action to correct such errors, as necessary, prior to including in our publicly reported financial results. These issues have not reflected a systemic concern with our revenue recognition methodology; rather they have arisen from a discrete fact pattern on a specific project. For example, we found during 2025 that (i) certain spreadsheets had not been updated with the most current cost information available in our general ledger relating to a particular project, (ii) a specific entry was recorded to an incorrect project in one case, and (iii) intercompany margin eliminations associated with Alpha Steel were not applied timely on certain projects. These errors had no material impact on the reported financial results included in this Quarterly Report.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Due to the significance of our accounting for revenue, we have concluded that the control deficiencies noted constitute a material weakness in our controls related to the recognition of revenue. As a result, we are actively implementing enhancements to our internal accounting processes and management review controls to strengthen our ability to prevent and detect such errors on a more timely basis in the future. We are also evaluating opportunities to increase automation within the revenue process and reduce manual effort and improve overall control effectiveness.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the three months ended June 30, 2026, apart from the transition from our former CEO to our new CEO in April 2026, that have materially affected, or are reasonably likely to materially affect, our internal control over financial reporting.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6"/>
          <w:u w:val="single"/>
        </w:rPr>
      </w:pPr>
      <w:r>
        <w:rPr>
          <w:rFonts w:ascii="Times New Roman" w:hAnsi="Times New Roman"/>
          <w:b/>
          <w:color w:val="000000"/>
          <w:sz w:val="26"/>
          <w:u w:val="single"/>
        </w:rPr>
        <w:t>PART II - OTHER INFORMATION</w:t>
      </w:r>
    </w:p>
    <w:p>
      <w:pPr>
        <w:pStyle w:val="TextBody"/>
        <w:bidi w:val="0"/>
        <w:spacing w:before="120" w:after="283"/>
        <w:jc w:val="left"/>
        <w:rPr>
          <w:rFonts w:ascii="Times New Roman" w:hAnsi="Times New Roman"/>
          <w:b/>
          <w:color w:val="000000"/>
          <w:sz w:val="24"/>
        </w:rPr>
      </w:pPr>
      <w:bookmarkStart w:id="21" w:name="item_1_legal_proceedings"/>
      <w:bookmarkEnd w:id="21"/>
      <w:r>
        <w:rPr>
          <w:rFonts w:ascii="Times New Roman" w:hAnsi="Times New Roman"/>
          <w:b/>
          <w:color w:val="000000"/>
          <w:sz w:val="24"/>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may become involved in various claims, lawsuits, investigations, and other proceedings arising in the normal course of business.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States Customs and Border Protection assessment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of 2023, CBP issued notices of tariff assessment that indicated an action taken at the Import Specialist (i.e., the port) level with respect to merchandise imported from Thailand under entry number 004-1058562-5 (the “625 Assessment”) and entry number 004-1063793-9 (the “Original 939 Assessment”, and collectively with the 625 Assessment, the “Original CBP Assessments”). The Original CBP Assessments related to certain torque beams that are used in our Voyager+ product that were imported in 2022. In the Original CBP Assessments, CBP asserted that Section 301 China tariffs, Section 232 steel and aluminum tariffs, and antidumping and countervailing duties applied to the merchandise. Based on correspondence received to date from CBP, including a recent partial acceptance by CBP of our protest on the 625 Assessment as described below, and our calculations based on applicable duty and tariff rates, the 625 Assessment is currently estimated at approximately $0.07 million. In September of 2023, CBP informed us that the amount owed under the Original 939 Assessment was being revised downward to approximately $2.01 million (the "Revised 939 Assessment", and together with the 625 Assessment, the "Revised CBP Assessments"). In particular, CBP accepted our position that the Section 301 tariffs of 25% or 7.5% of the value of the merchandise, depending on tariff classification, as well as the antidumping and countervailing duties, previously assessed under the Original 939 Assessment are not applicable as they are only applicable to articles that are products of China and that, in this case, the finished goods are products of Thailand.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CBP has legally finalized both Revised CBP Assessments. We filed a formal protest for the 625 Assessment in September of 2023 and for the Revised 939 Assessment in March of 2024. On February 11, 2026, CBP partially approved our protest of the 625 Assessment, which reduced our estimated exposure down to $0.07 million. We were notified on March 18, 2026, that CBP had denied our protest of the Revised 939 Assessment. Based on the denial by CBP, we accrued approximately $2.7 million, inclusive of interest, in our consolidated financial results for the year ended December 31, 2025. As of the date of filing this Quarterly Report, we have tendered $1.2 million of the claimed liability to CBP. We are currently evaluating our options to challenge this decision by CBP in the U.S. Court of International Trade (the "CIT") as to the merits of the disputed tariff classifications. A successful challenge would result in the refund of the tendered duties with interest. Matters of this nature are subject to inherent uncertainties and unfavorable rulings or developments. The assessment of our counsel is that there can be no certainty that the Company might ultimately prevail in the CIT and we could also be subject to future assessments of additional duties or tariffs owed in respect of other shipments or other materials beyond what is presently included in the Revised CBP Assessments. Such potential additional charges are not currently recorded as liabilities which, if incurred, could have a material adverse effect on our consolidated results of operations, financial position, or liquidity.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Customer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11, 2025, FTC Solar, Inc. filed a lawsuit against BayWa r.e. Power Solutions, Inc. ("BayWa") in the United States District Court for the Western District of Texas (Civil Action No. 25-cv-00905-DAE). The complaint alleges breach of contract arising from BayWa’s purported cancellation of a large equipment supply agreement and purchase order for custom solar tracking systems intended for a Texas-based solar energy project. The parties engaged in a formal dispute resolution process, including pre-suit mediation without success. On August 25, 2025, BayWa filed an answer to FTC's complaint and asserted certain counterclaims against FTC. On September 15, 2025, FTC filed a response to BayWa's counterclaims. The parties are now engaged in discovery. While FTC believes it has meritorious claims and intends to vigorously pursue recovery, the outcome of litigation is inherently uncertain, and it is unclear at this time whether FTC or BayWa will recover the amounts sought in their respective claims or whether the outcome would materially affect FTC's financial condition or results of operations.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2" w:name="item_1a_risk_factors"/>
      <w:bookmarkEnd w:id="22"/>
      <w:r>
        <w:rPr>
          <w:rFonts w:ascii="Times New Roman" w:hAnsi="Times New Roman"/>
          <w:b/>
          <w:color w:val="000000"/>
          <w:sz w:val="24"/>
        </w:rPr>
        <w:t>ITEM 1A. RISK</w:t>
      </w:r>
      <w:r>
        <w:rPr>
          <w:rFonts w:ascii="Times New Roman" w:hAnsi="Times New Roman"/>
          <w:color w:val="000000"/>
          <w:sz w:val="20"/>
        </w:rPr>
        <w:t xml:space="preserve"> </w:t>
      </w:r>
      <w:r>
        <w:rPr>
          <w:rFonts w:ascii="Times New Roman" w:hAnsi="Times New Roman"/>
          <w:b/>
          <w:color w:val="000000"/>
          <w:sz w:val="24"/>
        </w:rPr>
        <w:t>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a number of risks that in some cases have and moving forward if realized could further adversely affect our business, strategies, prospects, financial condition, results of operations and cash flows. Some of the more significant risks and uncertainties we face include those summarized below. In addition to the risk factors set forth below and the other information set forth in this Quarterly Report on Form 10-Q, you should carefully consider the risk factors set forth in Item 1A. "Risk Factors" in our 2025 Annual Report, which could materially affect our business, financial condition, or future results. Please carefully consider all of the information in this Quarterly Report and our 2025 Annual Report, including the full set of risks set forth in Item 1A. "Risk Factors" of our 2025 Annual Report, and in our other filings with the SEC before making an investment decision regarding us. We have marked with an asterisk (*) and included in full below this summary those risk factors that were not included as separate risk factors in, or reflect changes from the similarly titled risk factors included in Part I, Item 1A, "Risk Factors" of our 2025 Annual Report which are summarized below.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Our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a limited number of customers, the payment terms we agree to with such customers and the expected timing of customer project development activity may impair our ability to operate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invest in or acquire other companies or technologies, which could divert our management’s attention, result in dilution to our stockholders, reduce our available cash that could be used for other purposes and otherwise disrupt our operations and harm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our products and services is highly competitive and rapidly evolving, and we expect to face increased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Defects or quality or performance problems in our products could result in loss of customers, reputational damage and decreased revenue, and we may face warranty, indemnity and product liability claims arising from defective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significant time, resources and management attention to identifying and developing project leads that are subject to our sales and marketing focus, and if we are unsuccessful in converting such project leads (or awarded orders) into binding purchase orders, our business, financial condition or results of operations could be materially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in providing panel agnostic versions of our solar tracker systems will depend in part upon our ability to continue to work closely with leading solar panel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continue expanding into additional international markets, which will expose us to additional regulatory, economic, political, reputational and competitive risks.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Capital Strategy, Our Credit Agreement and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covenants, including the financial covenants, set forth in the Credit Agreement, as amended, restrict our business. In addition, our operations may not provide sufficient cash to meet the repayment obligations under the Credit Agreement or to satisfy future minimum cash, revenue, purchase order and other financial covenants that apply to the Company under the Credit Agreement. Defaults under the Credit Agreement, including breaches of the financial covenants, could adversely affect our financial condition and results of operations, including, without limitation as a result of the reclassification of the term loan balances under the Credit Agreement from long-term debt to current, such as shown in our Condensed Consolidated Balance Sheet as of June 30, 2026, or the Lenders' exercise of their rights under the Credit Agreement, including the requirement that the Company reasonably cooperate in good faith with the Lenders to pursue alternative strategic transactions, in the case of a breach of the financial covenants or the Lenders' foreclosure on their first priority security interest in substantially all of our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substantial number of shares of our common stock are issuable under the New Warrants and, if the New Warrants are exercised, they will have a dilutive impact, which could cause the price of our common stock to decline.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provisions of the New Warrants and in our governing documents under Delaware law could discourage an acquisition of us by a third party.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future issuances of new shares of our common stock or other dilution of our equity, which may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directors, executive officers, principal stockholders and holders of our New Warrants will continue to have significant influence over our company, which could limit your ability to influence the outcome of key transactions, including a change of control.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Regulations and Legal Compliance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reduction, elimination or expiration of government incentives for, or regulations mandating the use of, as well as corporate commitments to the use of, renewable energy and solar energy specifically could reduce demand for solar energy systems and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U.S. trade environment, including the further imposition of import tariffs, could adversely affect the amount or timing of our revenue, results of operations or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concentration of our sales in a limited number of specific markets increases risks associated with the reduction, elimination or expiration of governmental subsidies and economic incentives for solar energy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addressing determinations of forced labor practices in China and legislation and policies adopted to address such practices may disrupt the global supply of solar panels and affect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Our Supply Chain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upon a limited number of outside contract manufacturers, and our operations could be disrupted if our relationships with these contract manufacturers are compromised.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disruptions or quality control problems in our contract manufacturers’ manufacturing operations, which could result in reputational damage and other liabilities to our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a limited number of contract manufacturers for key components of our products to adequately meet anticipated demand. Due to the limited number of such contract manufacturers, any cessation of operations or production or any shortage, delay, price change, imposition of tariffs or duties or other limitation on our ability to obtain the components we use could result in sales delays, cancellations and loss of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interruption of the flow of components from international contract manufacturers could disrupt our supply chain, including as a result of the imposition of additional laws, duties, tariffs and other charges on imports and exports.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in whole or in part, to obtain, maintain, protect, defend or enforce our intellectual property and other proprietary rights, our business and results of operations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defend ourselves against third-party claims that we are infringing, misappropriating or otherwise violating third-party intellectual property rights, which could divert management’s attention, cause us to incur significant costs and prevent us from selling or using the products, services or technologies to which such rights relate.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Information Technology and Data Privacy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risks relating to cybersecurity incidents, our use of artificial intelligence, and data protection regulations.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cumulative losses since inception and have a history of cash outflows from operations, inclusive of $33.4 million in cash utilized for our operating activities during the year ended December 31, 2025. As of June 30, 2026, we had unrestricted cash on hand of $10.1 million, a working capital deficit of $7.9 million and stockholders' deficit of $30.3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these and other factors, including financial covenant requirements and principal repayment obligations in our Credit Agreement, as further discussed in Note 2, "Summary of significant accounting policies" in our Condensed Consolidated Financial Statements included in in Part I, Item 1 of this Quarterly Report, there is substantial doubt about our ability to continue as a going concern during the next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2026, we entered into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Accordingly, as of June 30, 2026, as the Lenders were able to call the debt for repayment in accordance with the terms of the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4, 2026, we entered into a Limited Waiver and Limited Consent to Credit Agreement (the “Waiver”)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our most recent Quarterly Report on Form 10-Q. Accordingly, we have classified all outstanding debt under our Credit Agreement as a current obligation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these and other factors, including financial covenant requirements and principal repayment obligations in our Credit Agreement, as further discussed in the consolidated financial statements included in our Annual and Quarterly Reports incorporated herein by reference, there is substantial doubt about our ability to continue as a going concern during the next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meet our liquidity needs over the next year is dependent upon (i) our cash on hand (subject to (x) a required principal repayment of $5.0 million during September 2026 under the Credit Agreement and (y) a $15.0 million minimum unrestricted cash covenant under the Credit Agreement effective for the quarter ending June 30, 2026 and as further reduced by required principal repayments under the Credit Agreement thereafter) and our compliance with the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and approved by the Lenders in their sole discretion, (iv) utilization, as appropriate, of the capacity available for future sales of our common stock under the ATM program, and (v) if we determine necessary, our ability to raise additional capital through other securities offerings. In addition,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continue to remain focused on implementing additional cost savings steps, which could impact, among other things, the location of our headcount and the level of services currently provided by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information relating to our outstanding debt may be found under "Management's Discussion and Analysis of Financial Condition and Results of Operations - Liquidity and Capital Resources - Liquidity and going concern."</w:t>
      </w:r>
    </w:p>
    <w:p>
      <w:pPr>
        <w:pStyle w:val="TextBody"/>
        <w:bidi w:val="0"/>
        <w:spacing w:before="240" w:after="283"/>
        <w:jc w:val="both"/>
        <w:rPr>
          <w:rFonts w:ascii="Times New Roman" w:hAnsi="Times New Roman"/>
          <w:sz w:val="20"/>
        </w:rPr>
      </w:pPr>
      <w:r>
        <w:rPr>
          <w:rFonts w:ascii="Times New Roman" w:hAnsi="Times New Roman"/>
          <w:color w:val="000000"/>
          <w:sz w:val="20"/>
        </w:rPr>
        <w:t>The demand for our products depends on many factors outside of our control, and we may not be able to grow our revenue as expected, or our revenue may decline for a number of reasons, including (i) delays in, or cancellation of, our customers' project development activity due to the inability of our customers to obtain (a) funding at an acceptable cost, (b) permits, (c) interconnection agreements, or (d) other matters; (ii) any slowdown in the level of investments in solar energy projects that may result from slowdowns in economic growth in the U.S. or outside of the U.S.; (iii) U.S. and global macroeconomic trends including with respect to (a) further increases in, or continued high levels of, governmental tariffs or restrictions on imports, (b) changes in interest rates and inflation, (c) changes to or the availability of tax credits or other governmental incentives available for solar project development or the manufacturing of solar components; (iv) a decline in demand for our offerings, or an increase in the cost of our offerings, including as a result of increases in the cost of or limited supplies of the raw materials necessary to produce our products and offerings; (v) increased competition; (vi) a lack of success in converting sales leads into binding purchase orders; (vii) loss of existing customers; (viii) our inability to sell software and other complementary products; (ix) a decrease in the growth of the solar industry or our market share, including as a result of potential increases in governmental support for other sources of energy production; (x) future decline in average selling prices of our products and services; (xi) our inability to enter certain international markets; (xii) technological changes or development that could render our products and services obsolete or uncompetitive; or, (xiii) our failure to capitalize on growth opportunities. Additionally, demand for our products may be impacted by the delays that have occurred in the integration of new solar resources due to interconnection queue study backlogs and the identified need for the construction of transmission grid upgrades. Further, regional Transmission Organizations have adopted metrics such as the effective load carrying capability metric used in the PJM Interconnection (“</w:t>
      </w:r>
      <w:r>
        <w:rPr>
          <w:rFonts w:ascii="Times New Roman" w:hAnsi="Times New Roman"/>
          <w:color w:val="000000"/>
          <w:sz w:val="20"/>
          <w:u w:val="single"/>
        </w:rPr>
        <w:t>PJM</w:t>
      </w:r>
      <w:r>
        <w:rPr>
          <w:rFonts w:ascii="Times New Roman" w:hAnsi="Times New Roman"/>
          <w:color w:val="000000"/>
          <w:sz w:val="20"/>
        </w:rPr>
        <w:t>”) that impose low-capacity values on solar, and high values on baseload plants. PJM has offered an accelerated interconnection process that will prioritize generators with high effective load carrying capabilities, which may expedite the interconnection of thermal generation over renewable generation. Various locations have imposed limits on new renewable projects, which also could temper the level of new solar projects.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achieve profitability or positive cash flow for a number of reasons, including declines in, or continued low levels of, revenue, as well as increases in costs to manufacture our products, U.S. and global macroeconomic trends, including with respect to the impact of U.S. tariffs and the imposition of additional duties or tariffs applicable to our industry or our products. In addition, we may be unable to identify further cost savings opportunities below present levels that would not adversely impact the functioning of our existing operations needed to meet customer and regulatory requirements. We also expect we could incur additional costs and expenses should activity levels increase from recent project wins that would allow us to continue to expand our business, including in connection with any future acquisitions, as well as ongoing development and marketing of our products and services, expanding into new markets and geographies with respect to both manufacturing and sales of our products, maintaining and enhancing our research and development operations, hiring additional personnel, incurring additional overhead costs and incurring greater costs from professional third-party advisors as necessary in connection with any expansion of our business. We do not know whether our revenue will grow rapidly enough to absorb such costs and expenses, or the extent of such costs and expenses and their impact on our results of operations. If we fail to generate sufficient revenue to support our operations, we may not be able to achieve profitability or generate sufficient cash flow to meet our financial obligations, and our liquidity position will be negatively impacted. Additionally, if we fail to comply with the covenants under the Credit Agreement, including the principal repayment obligations and financial covenants included in our Credit Agreement, as described above, we may default under the Credit Agreement and/or not have sufficient cash flow available to repay the Term Loans early, if they are accelerated following an event of default, or upon maturity of the Term Loans.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need to issue additional debt or obtain new equity financing to fund our operations and to execute on our current and future business strategies and plans. We may be unable to obtain any desired additional debt or equity financing on terms favorable to us, or at all, depending on, among other things, receiving required consents and approval from our existing lenders, the ability to issue other debt that is subordinate to the security interests under the Term Loans (or to obtain the consent of the Lenders to issue additional secured debt), interest rates, our stock price, our market capitalization, our ability to have our stock continue to be listed and traded on active markets or other conditions.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not able to secure adequate additional funding when needed or do not generate sufficient cash from operations, we will need to reevaluate our operating plan and may be forced to make reductions in spending, extend payment terms with suppliers, liquidate assets where possible, or suspend or curtail planned programs. These actions could materially impact our business, results of operations and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prospects. There can be no assurance that in the event we require additional financing, such financing will be available on terms that are favorable to us, or at all. Failure to generate sufficient cash from operations, raise additional capital, win new and retain current customers and vendors, or reduce certain discretionary spending would have a material adverse effect on our ability to achieve our intended business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further discussion, see "Management's Discussion and Analysis of Financial Condition and Results of Operations - Liquidity and Capital Resources - Liquidity and going concern" and Note 11, "Debt" in our Condensed Consolidated Financial Statements included in Part I, Item 1 of this Quarterly Report.</w:t>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23" w:name="item_2_unregistered_sales_equity_securit"/>
      <w:bookmarkEnd w:id="23"/>
      <w:r>
        <w:rPr>
          <w:rFonts w:ascii="Times New Roman" w:hAnsi="Times New Roman"/>
          <w:b/>
          <w:color w:val="000000"/>
          <w:sz w:val="24"/>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jc w:val="both"/>
        <w:rPr/>
      </w:pPr>
      <w:r>
        <w:rPr/>
        <w:t> </w:t>
      </w:r>
    </w:p>
    <w:p>
      <w:pPr>
        <w:pStyle w:val="TextBody"/>
        <w:bidi w:val="0"/>
        <w:spacing w:before="240" w:after="283"/>
        <w:jc w:val="left"/>
        <w:rPr>
          <w:rFonts w:ascii="Times New Roman" w:hAnsi="Times New Roman"/>
          <w:b/>
          <w:color w:val="000000"/>
          <w:sz w:val="24"/>
        </w:rPr>
      </w:pPr>
      <w:bookmarkStart w:id="24" w:name="item_3_defaults_upon_senior_securities"/>
      <w:bookmarkEnd w:id="24"/>
      <w:r>
        <w:rPr>
          <w:rFonts w:ascii="Times New Roman" w:hAnsi="Times New Roman"/>
          <w:b/>
          <w:color w:val="000000"/>
          <w:sz w:val="24"/>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described further in Note 11, "Debt" in Part I, Item 1 of this Quarterly Report, as of June 30, 2026, the Company was not in compliance with the required minimum unrestricted cash and direct tracker margin financial covenants under the Credit Agreement. On August 4, 2026, we entered into the Waiver with the Lenders in which the Lenders waived our noncompliance with these minimum unrestricted cash and minimum direct tracker margin covenants.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the outstanding principal balance of our Term Loans and the A&amp;R Promissory Note totaled approximately $52.1 million, including accrued paid-in-kind interest to date.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herein. Accordingly, the outstanding Term Loan and A&amp;R Promissory principal, plus accrued paid-in-kind interest, related unamortized discount and debt issue costs and any applicable Exit Fee, have been classified as a current obligation at June 30,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25" w:name="item_4_mine_safety_disclosures"/>
      <w:bookmarkEnd w:id="25"/>
      <w:r>
        <w:rPr>
          <w:rFonts w:ascii="Times New Roman" w:hAnsi="Times New Roman"/>
          <w:b/>
          <w:color w:val="000000"/>
          <w:sz w:val="24"/>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spacing w:before="240" w:after="283"/>
        <w:jc w:val="left"/>
        <w:rPr>
          <w:rFonts w:ascii="Times New Roman" w:hAnsi="Times New Roman"/>
          <w:b/>
          <w:color w:val="000000"/>
          <w:sz w:val="24"/>
        </w:rPr>
      </w:pPr>
      <w:bookmarkStart w:id="26" w:name="item_5_other_information"/>
      <w:bookmarkEnd w:id="26"/>
      <w:r>
        <w:rPr>
          <w:rFonts w:ascii="Times New Roman" w:hAnsi="Times New Roman"/>
          <w:b/>
          <w:color w:val="000000"/>
          <w:sz w:val="24"/>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required to be disclosed in a report on Form 8-K during the period covered by this Form 10-Q, but not reported.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Furnish the information required by Item 407(c)(3) of Regulation S-K (§229.407 of this chapter).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Furnish the information required by Item 408(a) of Regulation S-K (17 CFR 229.408(a)).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 of our directors or officers adopted, amended or terminated a "Rule 10b5-1 trading arrangement" or a "non-Rule 10b5-1 trading arrangement," as each term is defined in Item 408 of Regulation S-K during the three months ended June 30, 2026.</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4"/>
        </w:rPr>
      </w:pPr>
      <w:bookmarkStart w:id="27" w:name="item_6_exhibits"/>
      <w:bookmarkEnd w:id="27"/>
      <w:r>
        <w:rPr>
          <w:rFonts w:ascii="Times New Roman" w:hAnsi="Times New Roman"/>
          <w:b/>
          <w:color w:val="000000"/>
          <w:sz w:val="24"/>
        </w:rPr>
        <w:t>ITEM 6. EXHIBITS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1060"/>
        <w:gridCol w:w="249"/>
        <w:gridCol w:w="8896"/>
      </w:tblGrid>
      <w:tr>
        <w:trPr/>
        <w:tc>
          <w:tcPr>
            <w:tcW w:w="1060" w:type="dxa"/>
            <w:tcBorders/>
            <w:shd w:fill="FFFFFF" w:val="clear"/>
            <w:vAlign w:val="center"/>
          </w:tcPr>
          <w:p>
            <w:pPr>
              <w:pStyle w:val="TableContents"/>
              <w:bidi w:val="0"/>
              <w:spacing w:before="0" w:after="283"/>
              <w:jc w:val="left"/>
              <w:rPr>
                <w:sz w:val="4"/>
                <w:szCs w:val="4"/>
              </w:rPr>
            </w:pPr>
            <w:r>
              <w:rPr>
                <w:sz w:val="4"/>
                <w:szCs w:val="4"/>
              </w:rPr>
            </w:r>
          </w:p>
        </w:tc>
        <w:tc>
          <w:tcPr>
            <w:tcW w:w="249" w:type="dxa"/>
            <w:tcBorders/>
            <w:shd w:fill="FFFFFF" w:val="clear"/>
            <w:vAlign w:val="center"/>
          </w:tcPr>
          <w:p>
            <w:pPr>
              <w:pStyle w:val="TableContents"/>
              <w:bidi w:val="0"/>
              <w:spacing w:before="0" w:after="283"/>
              <w:jc w:val="left"/>
              <w:rPr>
                <w:sz w:val="4"/>
                <w:szCs w:val="4"/>
              </w:rPr>
            </w:pPr>
            <w:r>
              <w:rPr>
                <w:sz w:val="4"/>
                <w:szCs w:val="4"/>
              </w:rPr>
            </w:r>
          </w:p>
        </w:tc>
        <w:tc>
          <w:tcPr>
            <w:tcW w:w="8896" w:type="dxa"/>
            <w:tcBorders/>
            <w:shd w:fill="FFFFFF" w:val="clear"/>
            <w:vAlign w:val="center"/>
          </w:tcPr>
          <w:p>
            <w:pPr>
              <w:pStyle w:val="TableContents"/>
              <w:bidi w:val="0"/>
              <w:spacing w:before="0" w:after="283"/>
              <w:jc w:val="left"/>
              <w:rPr>
                <w:sz w:val="4"/>
                <w:szCs w:val="4"/>
              </w:rPr>
            </w:pPr>
            <w:r>
              <w:rPr>
                <w:sz w:val="4"/>
                <w:szCs w:val="4"/>
              </w:rPr>
            </w:r>
          </w:p>
        </w:tc>
      </w:tr>
      <w:tr>
        <w:trPr/>
        <w:tc>
          <w:tcPr>
            <w:tcW w:w="10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24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FTC Solar, Inc.(filed as Exhibit 3.1 to the Registrant's Current Report on Form 8-K filed with the Securities and Exchange Commission on May 3, 2021 and incorporated herein by reference).</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Bylaws of FTC Solar, Inc.(filed as Exhibit 3.2 to the Registrant's Current Report on Form 8-K filed with the Securities and Exchange Commission on May 3, 2021 and incorporated herein by reference).</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Certificate of Correction of Amended and Restated Certificate of Incorporation (Filed as Exhibit 3.3 to the Registrant's Quarterly Report on Form 10-Q filed with the Securities and Exchange Commission on June 8, 2021 and incorporated herein by reference).</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249"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t>
            </w:r>
          </w:p>
          <w:p>
            <w:pPr>
              <w:pStyle w:val="TableContents"/>
              <w:bidi w:val="0"/>
              <w:spacing w:before="0" w:after="283"/>
              <w:jc w:val="both"/>
              <w:rPr/>
            </w:pPr>
            <w:r>
              <w:rPr/>
              <w:t> </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Specimen Common Stock Certificate (filed as Exhibit 4.1 to the Registrant's Registration Statement on Form S-1 filed with the Securities and Exchange Commission on April 29, 2021 and incorporated herein by reference)</w:t>
              </w:r>
            </w:hyperlink>
            <w:r>
              <w:rPr>
                <w:rFonts w:ascii="Times New Roman" w:hAnsi="Times New Roman"/>
                <w:color w:val="000000"/>
                <w:sz w:val="20"/>
              </w:rPr>
              <w:t>.</w:t>
            </w:r>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t>
            </w:r>
            <w:r>
              <w:rPr>
                <w:rFonts w:ascii="Times New Roman" w:hAnsi="Times New Roman"/>
                <w:color w:val="000000"/>
                <w:sz w:val="18"/>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Employment Agreement, dated May 4, 2026, between the Company and Anthony Carroll (filed as Exhibit 10.1 to the Registrant's Current Report on Form 8-K filed with the Securities and Exchange Commission on May 5, 2026 and incorporated herein by reference).</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w:anchor="ftci-ex31_1.htm">
              <w:r>
                <w:rPr>
                  <w:rStyle w:val="InternetLink"/>
                  <w:rFonts w:ascii="Times New Roman" w:hAnsi="Times New Roman"/>
                  <w:color w:val="0000FF"/>
                  <w:sz w:val="20"/>
                  <w:u w:val="single"/>
                </w:rPr>
                <w:t>Certification of Principal Executive Officer Pursuant to SEC Rule 13a−14(a)/15d−14(a), as adopted pursuant to Section 302 of the Sarbanes-Oxley Act of 2002.</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w:anchor="ftci-ex31_2.htm">
              <w:r>
                <w:rPr>
                  <w:rStyle w:val="InternetLink"/>
                  <w:rFonts w:ascii="Times New Roman" w:hAnsi="Times New Roman"/>
                  <w:color w:val="0000FF"/>
                  <w:sz w:val="20"/>
                  <w:u w:val="single"/>
                </w:rPr>
                <w:t>Certification of Principal Financial Officer Pursuant to SEC Rule 13a−14(a)/15d−14(a), as adopted pursuant to Section 302 of the Sarbanes-Oxley Act of 2002.</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w:anchor="ftc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pPr>
            <w:hyperlink w:anchor="ftc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8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4697" w:type="dxa"/>
        <w:jc w:val="left"/>
        <w:tblInd w:w="0" w:type="dxa"/>
        <w:tblLayout w:type="fixed"/>
        <w:tblCellMar>
          <w:top w:w="28" w:type="dxa"/>
          <w:left w:w="28" w:type="dxa"/>
          <w:bottom w:w="28" w:type="dxa"/>
          <w:right w:w="28" w:type="dxa"/>
        </w:tblCellMar>
      </w:tblPr>
      <w:tblGrid>
        <w:gridCol w:w="301"/>
        <w:gridCol w:w="4396"/>
      </w:tblGrid>
      <w:tr>
        <w:trPr/>
        <w:tc>
          <w:tcPr>
            <w:tcW w:w="30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herewith.</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Incorporated herein by reference.</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contract or compensatory plan or arrangement.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6"/>
          <w:u w:val="single"/>
        </w:rPr>
      </w:pPr>
      <w:bookmarkStart w:id="28" w:name="signatures_266994"/>
      <w:bookmarkEnd w:id="28"/>
      <w:r>
        <w:rPr>
          <w:rFonts w:ascii="Times New Roman" w:hAnsi="Times New Roman"/>
          <w:b/>
          <w:color w:val="000000"/>
          <w:sz w:val="26"/>
          <w:u w:val="single"/>
        </w:rPr>
        <w:t>SIGNATURE</w:t>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17" w:type="dxa"/>
        <w:jc w:val="left"/>
        <w:tblInd w:w="0" w:type="dxa"/>
        <w:tblLayout w:type="fixed"/>
        <w:tblCellMar>
          <w:top w:w="28" w:type="dxa"/>
          <w:left w:w="28" w:type="dxa"/>
          <w:bottom w:w="28" w:type="dxa"/>
          <w:right w:w="28" w:type="dxa"/>
        </w:tblCellMar>
      </w:tblPr>
      <w:tblGrid>
        <w:gridCol w:w="1846"/>
        <w:gridCol w:w="3271"/>
      </w:tblGrid>
      <w:tr>
        <w:trPr/>
        <w:tc>
          <w:tcPr>
            <w:tcW w:w="18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FTC SOLAR, INC.</w:t>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August 5, 2026</w:t>
            </w:r>
          </w:p>
        </w:tc>
        <w:tc>
          <w:tcPr>
            <w:tcW w:w="327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Cathy Behnen</w:t>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Cathy Behnen,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0"/>
              <w:jc w:val="left"/>
              <w:rPr/>
            </w:pPr>
            <w:r>
              <w:rPr/>
              <w:t> </w:t>
            </w:r>
          </w:p>
        </w:tc>
        <w:tc>
          <w:tcPr>
            <w:tcW w:w="3271"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ftci-ex31_1.htm"/>
      <w:bookmarkStart w:id="30" w:name="ksftciex31_1"/>
      <w:bookmarkEnd w:id="29"/>
      <w:bookmarkEnd w:id="30"/>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Anthony Carroll,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FTC Solar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Anthony Carroll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Anthony Carroll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ftci-ex31_2.htm"/>
      <w:bookmarkStart w:id="32" w:name="ksftciex31_2"/>
      <w:bookmarkEnd w:id="31"/>
      <w:bookmarkEnd w:id="32"/>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Cathy Behnen,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FTC Solar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Cathy Behnen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Cathy Behnen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ftci-ex32_1.htm"/>
      <w:bookmarkStart w:id="34" w:name="ksftciex32_1"/>
      <w:bookmarkEnd w:id="33"/>
      <w:bookmarkEnd w:id="34"/>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FTC Solar,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Anthony Carroll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Anthony Carroll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ftci-ex32_2.htm"/>
      <w:bookmarkStart w:id="36" w:name="ksftciex32_2"/>
      <w:bookmarkEnd w:id="35"/>
      <w:bookmarkEnd w:id="36"/>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FTC Solar,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Cathy Behnen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Cathy Behnen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828161/000114036121015526/nt10018987x16_ex3-1.htm" TargetMode="External"/><Relationship Id="rId4" Type="http://schemas.openxmlformats.org/officeDocument/2006/relationships/hyperlink" Target="https://www.sec.gov/Archives/edgar/data/0001828161/000114036121015526/nt10018987x16_ex3-2.htm" TargetMode="External"/><Relationship Id="rId5" Type="http://schemas.openxmlformats.org/officeDocument/2006/relationships/hyperlink" Target="https://www.sec.gov/Archives/edgar/data/1828161/000095017021000325/ftci-20210331ex3_3.htm" TargetMode="External"/><Relationship Id="rId6" Type="http://schemas.openxmlformats.org/officeDocument/2006/relationships/hyperlink" Target="https://www.sec.gov/Archives/edgar/data/1828161/000114036121013207/nt10018987x7_ex4-1.htm" TargetMode="External"/><Relationship Id="rId7" Type="http://schemas.openxmlformats.org/officeDocument/2006/relationships/hyperlink" Target="https://www.sec.gov/Archives/edgar/data/1828161/000119312526204973/ftci-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38234</Words>
  <Characters>204392</Characters>
  <CharactersWithSpaces>244198</CharactersWithSpaces>
  <Paragraphs>8606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